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https://www.bundeskartellamt.de/SharedDocs/Entscheidung/DE/Fallberichte/Kartellverbot/2023/B10-25-18.pdf?__blob=publicationFile&amp;v=2</w:t>
      </w:r>
    </w:p>
    <w:p>
      <w:r>
        <w:t>Pages translated : 4</w:t>
      </w:r>
    </w:p>
    <w:p/>
    <w:p>
      <w:r>
        <w:rPr>
          <w:b/>
        </w:rPr>
        <w:t>[Pages 1–3]</w:t>
      </w:r>
    </w:p>
    <w:p>
      <w:r>
        <w:t xml:space="preserve">Case Report December 14, 2023  </w:t>
        <w:br/>
        <w:t xml:space="preserve">Fines and Liability Amounts Due to Agreements in Industrial Construction to the Detriment of Hüttenwerke Krupp Mannesmann GmbH  </w:t>
        <w:br/>
        <w:t xml:space="preserve">Industry: Industrial Construction  </w:t>
        <w:br/>
        <w:t xml:space="preserve">File Number: B10-25/18  </w:t>
        <w:br/>
        <w:t>Date of Decisions: April 4, 2022, May 25, 2022, June 2, 2022, July 22, 2022, August 16, 2022, September 15, 2022, October 27, 2022</w:t>
      </w:r>
    </w:p>
    <w:p>
      <w:r>
        <w:t xml:space="preserve">The Federal Cartel Office imposed fines and liability amounts totaling approximately 2.2 million euros due to bid rigging to the detriment of Hüttenwerke Krupp Mannesmann GmbH (hereinafter: HKM) during the period from April to October 2022. The recipients of the fines were the following companies:  </w:t>
        <w:br/>
        <w:t xml:space="preserve">- BeMo Tunnelling GmbH, Innsbruck (Austria), hereinafter: BeMo,  </w:t>
        <w:br/>
        <w:t xml:space="preserve">- Eiffage Infra-West GmbH, Borken (until June 15, 2020 operating as Heinrich Walter Bau GmbH), hereinafter: Eiffage,  </w:t>
        <w:br/>
        <w:t xml:space="preserve">- Fenne Baugesellschaft mbH, Gladbeck, hereinafter: Fenne,  </w:t>
        <w:br/>
        <w:t xml:space="preserve">- IH Inpako GmbH, Teutschenthal (until October 23, 2019 operating as WMB Wilhelm Maas Baubetriebe GmbH), hereinafter: Maas,  </w:t>
        <w:br/>
        <w:t xml:space="preserve">- IHT Ingenieur-, Hoch- und Tiefbau GmbH, Bochum, hereinafter: IHT,  </w:t>
        <w:br/>
        <w:t xml:space="preserve">- Mainka Bau GmbH &amp; Co. KG, Lingen (until January 9, 2020 operating as Bauunternehmung August Mainka GmbH &amp; Co.), hereinafter: Mainka,  </w:t>
        <w:br/>
        <w:t>- Rostek &amp; Pesch GmbH &amp; Co. KG, Krefeld, hereinafter: Rostek &amp; Pesch.</w:t>
      </w:r>
    </w:p>
    <w:p>
      <w:r>
        <w:t>In addition, fines were imposed against seven responsible individuals from these companies. A fine notice pursuant to § 81 para. 3a GWB 2017 (now: § 81a para. 1 GWB) and a liability notice pursuant to § 81e GWB were issued against AKM Verwaltungsgesellschaft mbH, Moers, hereinafter: AKM.</w:t>
      </w:r>
    </w:p>
    <w:p>
      <w:r>
        <w:t>The proceedings were triggered by a leniency application from Hermann Kassens Bauunternehmung GmbH, Papenburg (hereinafter: Kassens); this concerned a multilateral agreement (Agreement 16, see below). The proceedings against Kassens were terminated pursuant to § 47 para. 1 OWiG in conjunction with para. 7 of the Guidelines on the Leniency Program (Announcement No. 14/2021 on general administrative principles regarding the exercise of discretion in the conduct of proceedings and the application of the cartel leniency program pursuant to §§ 81h to 81n GWB). The proceedings against Echterhoff-Holland Hoch- und Tiefbau GmbH, Bochum (hereinafter: Echterhoff), were also terminated pursuant to § 47 para. 1 OWiG in conjunction with para. 7 of the Guidelines on the Leniency Program with regard to a bilateral offense (Agreement 8, see below).</w:t>
      </w:r>
    </w:p>
    <w:p>
      <w:r>
        <w:t xml:space="preserve">A total of 42 contracts with a total volume of approximately 24 million euros, which HKM requested from industrial construction companies between August 2011 and November 2016, were affected by the agreements. The Federal Cartel Office was able to prove 15 bilateral agreements and one multilateral agreement. The bilateral agreements concerned between one and ten contracts, while the multilateral agreement involved six contracts. Specifically, the following agreements were involved:  </w:t>
        <w:br/>
        <w:t xml:space="preserve">1. Bilateral agreement involving Rostek &amp; Pesch regarding eight contracts, requested between August 2011 and July 2012; total volume approximately 11.7 million euros.  </w:t>
        <w:br/>
        <w:t xml:space="preserve">2. Bilateral agreement involving Eiffage regarding one contract, requested in August 2013; total volume approximately 1.3 million euros.  </w:t>
        <w:br/>
        <w:t xml:space="preserve">3. Bilateral agreement involving Rostek &amp; Pesch regarding one contract, requested in August 2013; total volume approximately 1.3 million euros.  </w:t>
        <w:br/>
        <w:t xml:space="preserve">4. Bilateral agreement involving Fenne regarding one contract, requested in August 2013; total volume approximately 250,000 euros.  </w:t>
        <w:br/>
        <w:t xml:space="preserve">5. Bilateral agreement involving Maas regarding eight contracts, requested between August 2013 and February 2014; total volume approximately 1.7 million euros.  </w:t>
        <w:br/>
        <w:t xml:space="preserve">6. Bilateral agreement involving Eiffage regarding two contracts, requested in March 2014 and April 2015; total volume approximately 624,000 euros.  </w:t>
        <w:br/>
        <w:t xml:space="preserve">7. Bilateral agreement involving Fenne regarding ten contracts, requested between May and October 2014; total volume approximately 1.8 million euros.  </w:t>
        <w:br/>
        <w:t xml:space="preserve">8. Bilateral agreement involving Fenne regarding two contracts, requested in May and July 2014; total volume approximately 250,000 euros.  </w:t>
        <w:br/>
        <w:t xml:space="preserve">9. Bilateral agreement involving IHT regarding two contracts, requested in November 2015 and May 2016; total volume approximately 670,000 euros.  </w:t>
        <w:br/>
        <w:t xml:space="preserve">10. Bilateral agreement involving Rostek &amp; Pesch regarding one project, requested in May 2016; total volume approximately 1.2 million euros.  </w:t>
        <w:br/>
        <w:t xml:space="preserve">11. Bilateral agreement involving Rostek &amp; Pesch regarding one project, requested in May 2016; total volume approximately 1 million euros.  </w:t>
        <w:br/>
        <w:t xml:space="preserve">12. Bilateral agreement involving Mainka, requested in September 2016; total volume approximately 3.5 million euros.  </w:t>
        <w:br/>
        <w:t xml:space="preserve">13. Bilateral agreement involving Rostek &amp; Pesch regarding one contract, requested in September 2016; total volume approximately 3.5 million euros.  </w:t>
        <w:br/>
        <w:t xml:space="preserve">14. Bilateral agreement involving Maas regarding three contracts, requested between July and August 2016; total volume approximately 180,000 euros.  </w:t>
        <w:br/>
        <w:t xml:space="preserve">15. Bilateral agreement involving Maas regarding two projects, requested in October and November 2016; total volume approximately 90,000 euros.  </w:t>
        <w:br/>
        <w:t>16. Multilateral agreement involving the companies BeMo, Eiffage, Fenne, IHT, and Maas regarding six contracts, requested between May and September 2016; total volume approximately 7.5 million euros.</w:t>
      </w:r>
    </w:p>
    <w:p>
      <w:r>
        <w:t>The companies BeMo, Eiffage, Fenne, IHT, and Maas were fined for their involvement in the multilateral agreement, with Eiffage additionally fined for participation in two further bilateral agreements (Agreements 2 and 6), Fenne additionally fined for participation in three bilateral agreements (Agreements 4, 7, and 8), IHT additionally fined for participation in one further bilateral agreement (Agreement 9), and Maas additionally fined for participation in three further bilateral agreements (Agreements 5, 14, and 15). Additionally, fines were imposed against Mainka for its involvement in one bilateral agreement (Agreement 12) and against Rostek &amp; Pesch for their involvement in five bilateral agreements (Agreements 1, 3, 10, 11, and 13).</w:t>
      </w:r>
    </w:p>
    <w:p>
      <w:r>
        <w:t>The pattern of the agreements was generally as follows: The companies involved in the respective agreement initially agreed (mostly by phone) on who should win the contract. The relevant company then calculated the contract, initially for itself. Subsequently, it sent calculations with higher amounts to the other companies involved in the agreement so that they could base their bids on the submitted calculations. The sending of the calculations was regularly done via email.</w:t>
      </w:r>
    </w:p>
    <w:p>
      <w:r>
        <w:t>In addition to the phone contacts, there were also a number of meetings. For example, the multilateral agreement was reached at a meeting at the premises of Maas on July 5, 2016, which was attended by representatives from BeMo, Eiffage, Fenne, and IHT, in addition to responsible individuals from Maas. In addition to the companies Kassens and Echterhoff, the companies BeMo, Eiffage, Fenne, IHT, and Maas also submitted leniency applications. This led to not only reductions in fines for all companies but also, for the companies Eiffage, Fenne, IHT, and Maas, in relation to certain bilateral agreements (Eiffage regarding offense 14, Fenne regarding offense 15, IHT</w:t>
      </w:r>
    </w:p>
    <w:p>
      <w:r>
        <w:rPr>
          <w:b/>
        </w:rPr>
        <w:t>[Pages 4–4]</w:t>
      </w:r>
    </w:p>
    <w:p>
      <w:r>
        <w:t>Eiffage, Fenne, IHT, and Maas submitted a leniency application. This led to not only reductions in fines for all companies but also, for the companies Eiffage, Fenne, IHT, and Maas regarding certain bilateral agreements (Eiffage concerning offense 14, Fenne concerning offense 15, IHT concerning offenses 5, 6, 7, and 11, and Maas concerning offenses 1, 2, 3, 4, 9, 10, 12, and 13), to the granting of immunity. Outside the leniency program of the Federal Cartel Office, Rostek &amp; Pesch partially contributed to the clarification of the facts (in two bilateral offenses), which the Federal Cartel Office rewarded with a minor reduction in fines (ten percent).</w:t>
      </w:r>
    </w:p>
    <w:p>
      <w:r>
        <w:t>During the administrative offense proceedings, Maas ceased its business activities; subsequently, the company shares were transferred for a purchase price of one euro to an external company that did not belong to the corporate group to which Maas had belonged until then. The Federal Cartel Office took this as an opportunity to make use for the first time of the powers introduced in 2017 to impose corporate fines and liability amounts. Against AKM, corporate fines were imposed for two offenses that were concluded after the entry into force of the GWB amendment of 2017 pursuant to § 81 para. 3a GWB 2017 (now § 81a para. 1 GWB), and for two offenses that had been concluded before the entry into force of the GWB amendment of 2017, two liability amounts were set according to § 81e GWB.</w:t>
      </w:r>
    </w:p>
    <w:p>
      <w:r>
        <w:t>The fine notices and the liability notice have since become legally binding. With the exception of Fenne, all fined companies and all fined responsible individuals of these companies have agreed to a consensual termination of proceedings (settlement) (Fenne and the fined responsible individual of this company agreed to a settlement only regarding the multilateral agreement, but not concerning the three bilateral agreements).</w:t>
      </w:r>
    </w:p>
    <w:p>
      <w:r>
        <w:t>The case B10-25/18 was part of a larger procedural complex, which also included the cases B10-26/18 and B10-27/18 (see the corresponding case reports).</w:t>
      </w:r>
    </w:p>
    <w:p>
      <w:r>
        <w:t xml:space="preserve">Note  </w:t>
        <w:br/>
        <w:t xml:space="preserve">Persons who have suffered damage as a result of the violation may demand compensation from the parties involved, provided the legal requirements are met. As far as the decisions are already legally binding, they have a binding effect regarding the determination of the violation against the respective addressee of the notice according to § 33b GWB. Anyone who can credibly assert a claim for damages under § 33a GWB has, under further conditions, a right to the return of evidence and the provision of information according to § 33g GWB.  </w:t>
        <w:br/>
        <w:t>The case report reflects the status as of the day of publication and does not take into account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