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https://www.bundeskartellamt.de/SharedDocs/Entscheidung/DE/Fallberichte/Kartellverbot/2023/B10-26-18.pdf?__blob=publicationFile&amp;v=1</w:t>
      </w:r>
    </w:p>
    <w:p>
      <w:r>
        <w:t>Pages translated : 4</w:t>
      </w:r>
    </w:p>
    <w:p/>
    <w:p>
      <w:r>
        <w:rPr>
          <w:b/>
        </w:rPr>
        <w:t>[Pages 1–3]</w:t>
      </w:r>
    </w:p>
    <w:p>
      <w:r>
        <w:t xml:space="preserve">Case Report December 14, 2023  </w:t>
        <w:br/>
        <w:t xml:space="preserve">Fines for Collusion in Industrial Construction to the Detriment of ThyssenKrupp Steel Europe AG  </w:t>
        <w:br/>
        <w:t xml:space="preserve">Industry: Industrial Construction  </w:t>
        <w:br/>
        <w:t xml:space="preserve">File Number: B10-26/18  </w:t>
        <w:br/>
        <w:t>Date of Decisions: July 24, 2023, August 10, 2023, August 23, 2023, September 18, 2023, October 4, 2023, November 29, 2023</w:t>
      </w:r>
    </w:p>
    <w:p>
      <w:r>
        <w:t xml:space="preserve">The Federal Cartel Office imposed fines totaling approximately €2.3 million from July to November 2023 due to a bid-rigging agreement to the detriment of ThyssenKrupp Steel Europe AG (hereinafter: TK). The recipients of the fines were the following companies:  </w:t>
        <w:br/>
        <w:t xml:space="preserve">- Echterhoff-Holland Hoch- und Tiefbau GmbH, Bochum, hereinafter: Echterhoff,  </w:t>
        <w:br/>
        <w:t xml:space="preserve">- Eiffage Infra-West GmbH, Borken (operating as Heinrich Walter Bau GmbH until June 15, 2020), hereinafter: Eiffage,  </w:t>
        <w:br/>
        <w:t xml:space="preserve">- Fenne Baugesellschaft mbH, Gladbeck, hereinafter: Fenne,  </w:t>
        <w:br/>
        <w:t xml:space="preserve">- Gehrken Straßen- und Tiefbau GmbH &amp; Co. KG, Dortmund, hereinafter: Gehrken,  </w:t>
        <w:br/>
        <w:t xml:space="preserve">- IH Inpako GmbH, Teutschenthal (operating as WMB Wilhelm Maas Baubetriebe GmbH until October 23, 2019), hereinafter: Maas,  </w:t>
        <w:br/>
        <w:t xml:space="preserve">- Möllmann Straßen- und Ingenieurbau GmbH + Co KG, Dortmund (operating as Möllmann GmbH + Co Straßen-Tiefbau KG before December 9, 2016, and then as Kramer Straßen- und Ingenieurbau GmbH + Co KG until May 3, 2017), hereinafter: Möllmann,  </w:t>
        <w:br/>
        <w:t>- T&amp;M Baugesellschaft mbH, Wesel (operating as PE-LA Baugesellschaft mbH until January 6, 2011), hereinafter: T&amp;M.</w:t>
      </w:r>
    </w:p>
    <w:p>
      <w:r>
        <w:t>In addition, fines were imposed against five responsible individuals from these companies. A fine notice pursuant to § 81 Abs. 3a GWB 2017 (now: § 81a Abs. 1 GWB) was issued against AKM Verwaltungsgesellschaft mbH, Moers, hereinafter: AKM.</w:t>
      </w:r>
    </w:p>
    <w:p>
      <w:r>
        <w:t>The collusion affected 122 contracts that TK requested from industrial construction companies between March 2007 and February 2017. The total contract volume of these contracts amounts to approximately €32 million.</w:t>
      </w:r>
    </w:p>
    <w:p>
      <w:r>
        <w:t>The first anti-competitive contacts between competitors regarding the projects requested by TK began after the introduction of the company's own tendering platform (thyssenkrupp Sourcing Platform) in 2005. Involved in these early contacts were responsible parties from the companies with which TK had concluded a framework agreement for the Duisburg-Nord plant. At that time, these included at least the companies Echterhoff, Eiffage, Gehrken, and Möllmann, as well as another company. In the spring and fall of 2007, two meetings of these cartel-involved companies took place in a restaurant in the Duisburg harbor. The content primarily concerned the inadequate profit situation.</w:t>
      </w:r>
    </w:p>
    <w:p>
      <w:r>
        <w:t>In 2010/2011, there were changes in the inner circle of the cartel. These changes were triggered by the fact that the aforementioned other company initially abandoned the site on TK's premises and then the industrial construction altogether. Several responsible individuals subsequently left this company: One individual switched to Maas in May 2010, which had already submitted cover bids in favor of other cartel-involved companies and became part of the inner circle of the cartel through this switch. Two other employees moved to T&amp;M, which had also been part of the inner circle of the cartel since at least March 2011. In addition to the inner circle of the cartel, a large number of other companies were involved in the agreements. From March 2014, Fenne was also included.</w:t>
      </w:r>
    </w:p>
    <w:p>
      <w:r>
        <w:t>In the summer of 2010, another meeting of the cartel-involved companies took place. At least the companies Echterhoff, Gehrken, Maas, and Möllmann were represented. It could not be clarified whether representatives of other companies were present. The meeting took place in a pub in the Duisburg harbor. Topics included TK's performance catalog, (bad) experiences with TK, past projects and who had realized which projects, upcoming projects and what was known about them. There were no specific project agreements.</w:t>
      </w:r>
    </w:p>
    <w:p>
      <w:r>
        <w:t>This was different at the meeting that took place on June 9, 2016, at the premises of Maas. Participants included representatives from the companies Fenne, Maas, and T&amp;M. A representative from Echterhoff was invited but canceled at short notice. At this meeting, specific projects were also discussed, as far as they were known.</w:t>
      </w:r>
    </w:p>
    <w:p>
      <w:r>
        <w:t>The last anti-competitive contact occurred in February 2017.</w:t>
      </w:r>
    </w:p>
    <w:p>
      <w:r>
        <w:t>The cartel operated in the same manner throughout the entire period of the offense. The starting point for the agreements on individual projects was, in all cases, that TK usually held a joint site visit with all invited bidders. During the site visit, the cartel-involved companies already held initial discussions about who was interested in the respective contract. These discussions typically took place on the way back to the starting point of the visit, such as an office building or a container. A few words were sufficient for an initial clarification of the interests involved.</w:t>
      </w:r>
    </w:p>
    <w:p>
      <w:r>
        <w:t>Following the site visit, contacts were intensified. In mostly bilateral telephone calls, it was clarified who should receive the contract (the so-called highlighted bidder) and which companies should submit cover bids. These companies usually received specifications for their cover bids from the highlighted bidder – in the vernacular, the other bidders were then "served" or "supplied" with an offer. In catalog works, the corresponding percentages for the discounts to be granted were exchanged by phone, while for other projects, the highlighted bidder typically sent calculations to the co-bidders by fax. If all bidders could agree on a project, it was referred to in the participants' vernacular as "the circle is round/closed." However, it also happened that not all bidders participated in the agreement on a project or that individual cartel-involved companies did not adhere to the agreement. Occasionally, a cartel-involved company would "stay silent," meaning it did not submit an offer as agreed. Sometimes, however, companies had no interest in a contract (for example, due to capacity reasons) but still wanted to submit an offer. In some cases, cartel-involved companies even demanded to be "served" or "supplied" with an offer to demonstrate their presence in the procurement process to TK without significant calculation effort.</w:t>
      </w:r>
    </w:p>
    <w:p>
      <w:r>
        <w:t>Before negotiations, there were sometimes renewed discussions among the cartel-involved companies invited to the negotiations to establish a target price in advance. It also happened that one of the cartel-involved companies "shot down" the highlighted bidder, meaning it underbid, which could then lead to conflicts.</w:t>
      </w:r>
    </w:p>
    <w:p>
      <w:r>
        <w:t>There were no compensatory payments. The basic principle was that each company should have a turn. There was no fixed order or quota. However, the companies – at least partially – kept "records" to determine who received which contract.</w:t>
      </w:r>
    </w:p>
    <w:p>
      <w:r>
        <w:t>All fined companies submitted a leniency application.</w:t>
      </w:r>
    </w:p>
    <w:p>
      <w:r>
        <w:t>During the administrative offense proceedings, Maas ceased its business activities; subsequently, the company shares were sold for a purchase price of one euro to an external company.</w:t>
      </w:r>
    </w:p>
    <w:p>
      <w:r>
        <w:rPr>
          <w:b/>
        </w:rPr>
        <w:t>[Pages 4–4]</w:t>
      </w:r>
    </w:p>
    <w:p>
      <w:r>
        <w:t>transferred to an external company that did not belong to the corporate group to which Maas had belonged until then. As a result, a corporate fine was imposed on AKM pursuant to § 81 Abs. 3a GWB 2017 (now § 81a Abs. 1 GWB).</w:t>
      </w:r>
    </w:p>
    <w:p>
      <w:r>
        <w:t>The fine notices have since become legally binding. The companies AKM, Maas, Echterhoff, Eiffage, Gehrken, Möllmann, and T&amp;M, as well as the fined responsible parties of these companies, have agreed to a consensual termination of the proceedings (settlement).</w:t>
      </w:r>
    </w:p>
    <w:p>
      <w:r>
        <w:t>The proceedings B10-26/18 were part of a larger procedural complex, which also included the proceedings B10-25/18 and B10-27/18 (see the corresponding case reports).</w:t>
      </w:r>
    </w:p>
    <w:p>
      <w:r>
        <w:t xml:space="preserve">Note </w:t>
        <w:br/>
        <w:t>Persons who have suffered damage as a result of the violation may demand compensation from the parties involved, provided the legal requirements are met. To the extent that the decisions are already legally binding, they have a binding effect on the respective addressee of the notice regarding the determination of the violation pursuant to § 33b GWB.</w:t>
      </w:r>
    </w:p>
    <w:p>
      <w:r>
        <w:t>Anyone who can credibly assert a claim for damages under § 33a GWB has, under further conditions, a right to the disclosure of evidence and the provision of information pursuant to § 33g GWB.</w:t>
      </w:r>
    </w:p>
    <w:p>
      <w:r>
        <w:t>The case report reflects the status as of the date of publication and does not account for any subsequent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