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https://www.bundeskartellamt.de/SharedDocs/Entscheidung/DE/Fallberichte/Kartellverbot/2023/B10-27-18.pdf?__blob=publicationFile&amp;v=1</w:t>
      </w:r>
    </w:p>
    <w:p>
      <w:r>
        <w:t>Pages translated : 3</w:t>
      </w:r>
    </w:p>
    <w:p/>
    <w:p>
      <w:r>
        <w:rPr>
          <w:b/>
        </w:rPr>
        <w:t>[Pages 1–3]</w:t>
      </w:r>
    </w:p>
    <w:p>
      <w:r>
        <w:t xml:space="preserve">Case Report December 14, 2023  </w:t>
        <w:br/>
        <w:t xml:space="preserve">Fines and Liability Amounts Due to Agreements in Industrial Construction to the Detriment of Deutsche Edelstahlwerke GmbH  </w:t>
        <w:br/>
        <w:t xml:space="preserve">Industry: Industrial Construction  </w:t>
        <w:br/>
        <w:t xml:space="preserve">File Number: B10-27/18  </w:t>
        <w:br/>
        <w:t>Date of Decisions: November 24, 2022, December 7, 2022, December 12, 2022, January 9, 2023</w:t>
      </w:r>
    </w:p>
    <w:p>
      <w:r>
        <w:t xml:space="preserve">The Federal Cartel Office imposed fines and liability amounts totaling approximately 330,000 euros due to bid rigging to the detriment of Deutsche Edelstahlwerke GmbH (hereinafter: DEW) during the period from November 2022 to January 2023. The recipients of the fines were the following companies:  </w:t>
        <w:br/>
        <w:t xml:space="preserve">- Fenne Baugesellschaft mbH, Gladbeck, hereinafter: Fenne,  </w:t>
        <w:br/>
        <w:t xml:space="preserve">- IH Inpako GmbH, Teutschenthal (formerly operating as WMB Wilhelm Maas Baubetriebe GmbH until October 23, 2019), hereinafter: Maas,  </w:t>
        <w:br/>
        <w:t xml:space="preserve">- Karger Straßen- und Tiefbau GmbH, Witten, hereinafter: Karger,  </w:t>
        <w:br/>
        <w:t>- Korte GmbH + Co. KG, Witten, hereinafter: Korte.</w:t>
      </w:r>
    </w:p>
    <w:p>
      <w:r>
        <w:t xml:space="preserve">In addition, a liability notice was issued against AKM Verwaltungsgesellschaft mbH, Moers, hereinafter: AKM, pursuant to § 81e GWB.  </w:t>
        <w:br/>
        <w:t>The proceedings against Echterhoff-Holland Hoch- und Tiefbau GmbH, Bochum (hereinafter: Echterhoff), were discontinued in accordance with § 47 Abs. 1 OWiG in conjunction with Rn. 7 of the guidelines for the leniency program (Announcement No. 14/2021 on general administrative principles regarding the exercise of discretion in the conduct of proceedings and the application of the antitrust leniency program pursuant to §§ 81h to 81n GWB); the cooperation concerned bilateral agreement 4, see below. The proceedings against IHT Ingenieur-, Hoch- und Tiefbau GmbH, Bochum (hereinafter: IHT), were also discontinued in accordance with § 47 Abs. 1 OWiG in conjunction with Rn. 7 of the guidelines for the leniency program regarding two bilateral acts (agreements 1 and 2, see below).</w:t>
      </w:r>
    </w:p>
    <w:p>
      <w:r>
        <w:t>The agreements affected a total of 14 contracts with a total volume of approximately 4 million euros, which DEW inquired about from industrial construction companies between 2014 and the end of 2016.</w:t>
      </w:r>
    </w:p>
    <w:p>
      <w:r>
        <w:t xml:space="preserve">The Federal Cartel Office was able to prove four bilateral agreements. The bilateral agreements concerned between one and seven contracts. Specifically, the agreements were as follows:  </w:t>
        <w:br/>
        <w:t xml:space="preserve">1. Bilateral agreement involving Fenne over three contracts; submission of offers between June 2014 and October 2016; total volume approximately 1.1 million euros.  </w:t>
        <w:br/>
        <w:t xml:space="preserve">2. Bilateral agreement involving Korte over six contracts; submission of offers between November 2014 and December 2016; total volume approximately 290,000 euros.  </w:t>
        <w:br/>
        <w:t xml:space="preserve">3. Bilateral agreement between Karger and Korte over seven contracts; submission of offers between August 2014 and December 2016; total volume approximately 300,000 euros.  </w:t>
        <w:br/>
        <w:t>4. Bilateral agreement involving Maas over one contract; submission of offers in July 2014 and May 2015; total volume approximately 2.25 million euros.</w:t>
      </w:r>
    </w:p>
    <w:p>
      <w:r>
        <w:t>The companies Fenne, Karger, and Maas were fined for one bilateral agreement each, while Korte was fined for two bilateral agreements. The pattern of the agreements was generally as follows: The companies involved in the respective agreement initially agreed (mostly by phone) on who should win the contract. The relevant company then calculated the contract, initially for itself. Subsequently, it sent a calculation (partly its own, partly one with higher amounts) to the other company involved in the agreement so that this company could use the transmitted calculation for its protective offer. The transmission of the calculation regularly took place via email.</w:t>
      </w:r>
    </w:p>
    <w:p>
      <w:r>
        <w:t xml:space="preserve">In addition to the companies Echterhoff and IHT, the companies Karger, Korte, and Maas also submitted a leniency application.  </w:t>
        <w:br/>
        <w:t>During the administrative offense proceedings, Maas ceased its business activities; subsequently, the company shares were transferred for a purchase price of one euro to an external company that did not belong to the corporate group to which Maas had belonged until then. The Federal Cartel Office therefore established a liability amount against AKM in accordance with § 81e GWB.</w:t>
      </w:r>
    </w:p>
    <w:p>
      <w:r>
        <w:t>The fine notices and the liability notice have since become legally binding. The companies AKM, Maas, Karger, and Korte have agreed to a consensual settlement. The proceedings B10-27/18 were part of a larger procedural complex, which also included the proceedings B10-25/18 and B10-26/18 (see the corresponding case reports).</w:t>
      </w:r>
    </w:p>
    <w:p>
      <w:r>
        <w:t xml:space="preserve">Note  </w:t>
        <w:br/>
        <w:t xml:space="preserve">Persons who have suffered damage as a result of the violation may claim compensation from the parties involved if the legal requirements are met. As far as the decisions are already legally binding, they have a binding effect regarding the determination of the violation against the respective recipient of the notice in accordance with § 33b GWB.  </w:t>
        <w:br/>
        <w:t xml:space="preserve">Anyone who can credibly assert a claim for damages under § 33a GWB has, under further conditions, a right to the return of evidence and the provision of information under § 33g GWB.  </w:t>
        <w:br/>
        <w:t>The case report reflects the status as of the date of publication and does not take into account any subsequent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