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https://www.bundeskartellamt.de/SharedDocs/Entscheidung/DE/Entscheidungen/Missbrauchsaufsicht/2011/B10-31-10.pdf?__blob=publicationFile&amp;v=1</w:t>
      </w:r>
    </w:p>
    <w:p>
      <w:r>
        <w:t>Pages translated : 9</w:t>
      </w:r>
    </w:p>
    <w:p/>
    <w:p>
      <w:r>
        <w:rPr>
          <w:b/>
        </w:rPr>
        <w:t>[Pages 1–3]</w:t>
      </w:r>
    </w:p>
    <w:p>
      <w:r>
        <w:t xml:space="preserve">8. Decision Division  </w:t>
        <w:br/>
        <w:t xml:space="preserve">B 10 – 31/10  </w:t>
        <w:br/>
        <w:t xml:space="preserve">Decision  </w:t>
        <w:br/>
        <w:t xml:space="preserve">In the administrative proceedings  </w:t>
        <w:br/>
        <w:t xml:space="preserve">against the  </w:t>
        <w:br/>
        <w:t xml:space="preserve">Städtische Werke Aktiengesellschaft  </w:t>
        <w:br/>
        <w:t xml:space="preserve">Königstor 3 - 13  </w:t>
        <w:br/>
        <w:t xml:space="preserve">34117 Kassel  </w:t>
        <w:br/>
        <w:t xml:space="preserve">– Party involved –  </w:t>
        <w:br/>
        <w:t xml:space="preserve">due to the suspicion of violations of §§ 19 para. 1 in conjunction with para. 4 nos. 1 and 2, 20 para. 1,  </w:t>
        <w:br/>
        <w:t xml:space="preserve">29 sentence 1 no. 1 GWB, the 8th Decision Division decided on September 26, 2011:  </w:t>
        <w:br/>
        <w:t xml:space="preserve">1. The commitments offered by the party involved in its letters to the Decision Division dated June 3, 2011, and August 30, 2011, are binding. The aforementioned letters are part of this decision.  </w:t>
        <w:br/>
        <w:t xml:space="preserve">2. The proceedings are suspended in accordance with § 32 b para. 1 sentence 2 GWB.  </w:t>
        <w:br/>
        <w:t xml:space="preserve">3. The fee for the proceedings, including the decision, amounts to [...] euros.  </w:t>
        <w:br/>
        <w:t xml:space="preserve">4. The revocation of this order remains reserved.  </w:t>
        <w:br/>
        <w:t xml:space="preserve">Reasons  </w:t>
        <w:br/>
        <w:t xml:space="preserve">I.  </w:t>
        <w:br/>
        <w:t xml:space="preserve">1. The party involved is a company engaged in the distribution of electricity, gas, district heating, and water, as well as in the operation of electricity, gas, and water networks and swimming pools. The revenues of the party involved amounted to 408 million euros in 2010. The shareholders of the party involved are the city-owned Kasseler Verkehrs- und Versorgungs-GmbH (75.1%) and Thüga AG (24.9%). The party supplies approximately [...] customers in Northern Hesse with heating electricity. The party is the basic supplier in the field of electricity in the city of Kassel within the meaning of § 36 para. 2 sentence 1 EnWG.  </w:t>
        <w:br/>
        <w:t xml:space="preserve">2. On December 21, 2010, the 10th Decision Division of the Federal Cartel Office initiated proceedings against the party involved on suspicion of abuse of a dominant market position by demanding excessive heating electricity prices for the supply of household and small business customers (private end customers) with electricity for the operation of interruptible consumption devices, i.e., electric night storage heaters and electric heat pumps ("heating electricity"). The basis for this were §§ 19 para. 1 in conjunction with para. 4 no. 2, 29 sentence 1 no. 1 GWB. In light of the investigation results, the accusation was later expanded to include an alleged obstruction abuse and an alleged unfair hindrance of competitors. The basis for this were §§ 19 para. 1 in conjunction with para. 4 no. 1, 20 para. 1 GWB.  </w:t>
        <w:br/>
        <w:t xml:space="preserve">3. The competent state cartel authority for energy and water of the state of Hesse, originally responsible according to § 48 para. 2 sentence 2 GWB, had previously referred the matter to the Federal Cartel Office by letter dated December 16, 2010, in accordance with § 49 para. 3 sentence 1 GWB at the request of the party involved.  </w:t>
        <w:br/>
        <w:t xml:space="preserve">4. On July 15, 2011, the responsibility for conducting the proceedings changed from the 10th to the 8th Decision Division of the Federal Cartel Office due to an internal restructuring.  </w:t>
        <w:br/>
        <w:t xml:space="preserve">5. The investigations of the Decision Division related to the revenue situation of the party involved, including the network fees paid by it, concession fees, fees under the Combined Heat and Power Act (hereinafter: CHP fees), and eco-taxes in the calendar years 2007, 2008, and 2009. Furthermore, investigations were conducted regarding the electricity procurement situation, including the electricity procurement costs incurred for heating electricity in the years 2007, 2008, and 2009, as well as the general distribution situation.  </w:t>
        <w:br/>
        <w:t xml:space="preserve">6. The Decision Division communicated the preliminary investigation results to the party involved by letter dated February 28, 2011, and explained them in detail during a personal meeting on May 4, 2011, at the Federal Cartel Office.  </w:t>
        <w:br/>
        <w:t xml:space="preserve">7. In its letters dated June 3, 2011, and August 30, 2011, the party involved offered the following commitments in accordance with § 32 b para. 1 sentence 1 GWB:  </w:t>
        <w:br/>
        <w:t xml:space="preserve">• As of October 1, 2011, the party involved will offer its customers a separate tariff for electricity for the operation of heat pumps. The pricing will be analogous to the tariff of the party involved for electricity for the operation of direct heating. Conditions for the use of the heat pump tariff are that the customer’s system is modified for separate measurement of the heat pump accordingly and that the electricity supply can be interrupted.  </w:t>
        <w:br/>
        <w:t xml:space="preserve">• The customers of the party involved will receive the following financial refunds regarding the electricity they have purchased in the past for the operation of heat pumps:  </w:t>
        <w:br/>
        <w:t xml:space="preserve">o for electricity purchases in the entire year 2009: [...] Ct/kWh net = [...] Ct/kWh gross,  </w:t>
        <w:br/>
        <w:t xml:space="preserve">o for electricity purchases in the entire year 2010: [...] Ct/kWh net = [...] Ct/kWh gross,  </w:t>
        <w:br/>
        <w:t xml:space="preserve">o for electricity purchases in 2011, but no longer than until the introduction of a separate heat pump tariff: [...] Ct/kWh net = [...] Ct/kWh gross.  </w:t>
        <w:br/>
        <w:t xml:space="preserve">• The aforementioned financial refunds will be made through a separate billing no later than December 31, 2011. One-time payments made by the party involved (conversion premium or heat pump bonus) will be taken into account. Prior to this, the party involved will contact the affected customers in writing to determine the annual consumption.  </w:t>
        <w:br/>
        <w:t xml:space="preserve">• In the context of its next internal review of heating electricity prices, which is expected to take place on January 1, 2012, the party involved will waive any price increase demonstrably caused by costs in the amount of [...] euros and will not pass on a cost increase of this magnitude to its customers. Furthermore, the party involved will not compensate the aforementioned financial refunds through future pricing measures (so-called "No-Repeated-Game" clause). The "No-Repeated-Game" clause will end on December 31, 2012. The party involved will demonstrate to the Decision Division the compliance with its financial commitments, including the "No-Repeated-Game" clause.  </w:t>
        <w:br/>
        <w:t xml:space="preserve">• The party involved commits to charge for all heating electricity supplies to private end customers at most the maximum permissible concession fee rate for special contract customers according to the Concession Fee Ordinance (KAV) (currently 0.11 Ct/kWh).  </w:t>
        <w:br/>
        <w:t xml:space="preserve">• The party involved further commits to transparently publish its heating electricity tariffs, its network usage fees for interruptible supplies, and its load profiles for interruptible supplies on the internet.  </w:t>
        <w:br/>
        <w:t xml:space="preserve">Details of the offered commitments can be found in the attached letters from the party involved dated June 3, 2011, and August 30, 2011, which are expressly part of this decision.  </w:t>
        <w:br/>
        <w:t>8. The party involved, the state cartel authority for energy and water of the state of Hesse, and the Federal Network Agency were each given the opportunity to comment on the draft decision by letters dated September 8, 2011.</w:t>
      </w:r>
    </w:p>
    <w:p>
      <w:r>
        <w:rPr>
          <w:b/>
        </w:rPr>
        <w:t>[Pages 4–6]</w:t>
      </w:r>
    </w:p>
    <w:p>
      <w:r>
        <w:t>- 4 -</w:t>
        <w:br/>
        <w:t>II.</w:t>
        <w:br/>
        <w:t>9. The proposed commitments are suitable to eliminate the existing preliminary concerns of the decision division regarding the contested competitive behavior of the parties involved. Therefore, the decision division, within its discretion, declares the commitments binding and suspends the proceedings subject to its options contained in § 32 b para. 2 GWB.</w:t>
        <w:br/>
        <w:t>10. The preliminary legal assessment of the decision division is based on the considerations presented below in III. and IV. The existence of an obstruction and price abuse is nonetheless not acknowledged by the parties involved. In this respect, differing legal opinions continue to exist between the decision division and the parties involved. In the interest of their customers, the parties involved have nonetheless offered commitments and have partially already implemented them.</w:t>
        <w:br/>
        <w:t>III.</w:t>
        <w:br/>
        <w:t>11. The Federal Cartel Office is responsible for the proceedings, as the State Cartel Authority for Energy and Water of the State of Hesse transferred the matter to the Federal Cartel Office at its request by letter dated December 21, 2010, pursuant to § 49 para. 3 sentence 1 GWB.</w:t>
        <w:br/>
        <w:t>IV.</w:t>
        <w:br/>
        <w:t>12. According to the decision division, the party involved has a dominant position in the supply of electricity to private end customers for the operation of interruptible consumption devices, i.e., electric night storage heaters and electric heat pumps, within the meaning of § 19 para. 1 GWB and is thus subject to the norms of §§ 19, 20, 29 GWB. The relevant market is the supply of electricity to private end consumers for the operation of interruptible consumption devices – primarily understood to include night storage heaters and electric heat pumps – for the purpose of space heating ("heating electricity").</w:t>
        <w:br/>
        <w:t>13. From the perspective of the affected consumer, there is practically no substitution possibility for heating electricity by other heating means. Although heating electricity customers generally have the option to switch to other heating systems that may use cheaper operating materials, a switch from a night storage heater to an oil, gas, or district heating system is hardly possible. If connection possibilities to the gas or district heating network exist at all, the costly installation of corresponding piping systems in the respective building would be required. The installation of a heat pump, in turn, requires significant initial investments.1 The switch to another heating system is generally not economically sensible, considering that heat pumps have mostly been installed only in the more recent past.</w:t>
        <w:br/>
        <w:t>14. There is also no substitution possibility through household electricity. Although, from a purely physical standpoint, night storage heaters and heat pumps could also be operated with household electricity, this is not a realistic option from the consumer's perspective due to the significant price difference between heating electricity and household electricity supplies. This price difference is structurally conditioned by the different usage behavior of heating electricity and pure household electricity customers. The demand for heating electricity is temperature-dependent and is significantly higher on days with lower outside temperatures than on warmer days. Furthermore, the amount of electricity demanded by heating electricity customers far exceeds the average amount of electricity consumed by household electricity customers.2 Additionally, the times of day when heating electricity and household electricity are typically consumed differ. While household electricity is primarily needed during the day for the operation of household appliances and lighting, heating electricity is predominantly demanded at night due to the technical conditions for operating interruptible consumption devices. This demand behavior allows the energy supplier to procure the required electricity predominantly or even entirely during off-peak times. This is significantly cheaper than procurement for peak times during the day. Moreover, due to the possibility of interruptibility of supply for heating electricity deliveries, lower network usage fees and concession fees are regularly incurred than for normal household electricity deliveries. Thus, the different price levels of heating electricity and household electricity are not a temporary phenomenon but a permanent one.</w:t>
        <w:br/>
        <w:t>15. In spatial terms, the decision division delineates the relevant market for the supply of end consumers with heating electricity regionally according to the established supply areas of the affected companies. This corresponds to the network area of the parties involved, in which they distribute heating electricity. The market delineation for heating electricity has been confirmed by the Higher Regional Court (OLG) Düsseldorf in a preliminary injunction proceeding in both spatial and substantive respects.3</w:t>
        <w:br/>
        <w:t>16. In the market for the supply of heating electricity to private end consumers, as defined above, the respective heating electricity distribution company is dominant in the sense of § 19 para. 1 GWB, given existing market entry barriers and market shares of almost 100%. Based on the investigation results, the decision division assumes that this also applies to the participant.</w:t>
        <w:br/>
        <w:t>17. The market entry barriers to the heating electricity markets are high for several reasons: The load profiles used by various network operators for the supply of heating electricity customers have not yet been determined in a uniform manner. This significantly complicates standardized heating electricity supply by third parties.4 The method for determining heating electricity load profiles is neither prescribed by the regulator nor has a dominant method of determination been established in the industry to date.</w:t>
        <w:br/>
        <w:t>18. Furthermore, the respective network operator is not legally obliged to publish the load profiles used for the supply of heating electricity customers transparently and up-to-date on the internet. The network operator is only required to provide the load profiles upon request.5 However, such a request imposes a significant additional burden on third-party suppliers, complicating the calculation of electricity procurement costs, and consequently the pricing and ultimately the operation in other supply areas. According to studies, several network operators previously provided information on the load profile only upon request.6</w:t>
        <w:br/>
        <w:t>19. Another market entry barrier to the heating electricity markets is the often incomplete or not fully comprehensive publication of the load profiles by a distribution company to the relevant authorities.3 See OLG Düsseldorf, decision of, file no. VI-2 Kart 9/09 (V) - "Entega". For the market delineation practice of the Federal Cartel Office, see also the report "Heating Electricity – Market Overview and Proceedings," p. 6ff., available at http://www.bundeskartellamt.de/wDeutsch/download/pdf/Stellungnahmen/2010-09-28_Heizstrom-Bericht_verbessert101103.pdf.</w:t>
        <w:br/>
        <w:t>4 See Nabe/Ters: Standard load profiles for interruptible, temperature-dependent consumption devices (1), report commissioned by the Federal Network Agency, January 2008, available on the internet at: http://www.bundesnetzagentur.de/cae/servlet/contentblob/132386/publicationFile/1600/GutachtenHeizstrommarktI_Id17128pdf.pdf, p. 20 f.</w:t>
        <w:br/>
        <w:t>5 See Federal Network Agency, Annex 1 to the decision BK6-07-002, "Market Rules for the Implementation of Electricity Balancing Group Settlement (MaBiS)," p. 9, available on the internet at: http://www.bundesnetzagentur.de/cae/servlet/contentblob/110572/publicationFile/5880/BK6-07-002_Anlagen1und2zumBeschluss10062009.pdf.</w:t>
        <w:br/>
        <w:t>6 See Nabe/Ters: Standard load profiles for interruptible, temperature-dependent consumption devices (1), report commissioned by the Federal Network Agency, January 2008, available on the internet at: http://www.bundesnetzagentur.de/cae/servlet/contentblob/132386/publicationFile/1600/GutachtenHeizstrommarktI_Id17128pdf.pdf, p. 18.</w:t>
      </w:r>
    </w:p>
    <w:p>
      <w:r>
        <w:rPr>
          <w:b/>
        </w:rPr>
        <w:t>[Pages 7–9]</w:t>
      </w:r>
    </w:p>
    <w:p>
      <w:r>
        <w:t>- 7 -</w:t>
        <w:br/>
        <w:t>offered heating electricity products. Due to this lack of transparency, it is hardly possible for third-party suppliers to calculate viable alternative offers for heating electricity supplies.</w:t>
      </w:r>
    </w:p>
    <w:p>
      <w:r>
        <w:t>20. Finally, heating electricity markets are often unattractive for new providers. This is partly because the volume of electricity sales is tending to decline (better thermal insulation, renewal of heating systems, operating ban for storage heaters in residential buildings with more than five residential units starting in 2020). On the other hand, local suppliers in many supplied areas operate with low or even no profit margin. This presents a disincentive for entering into a heating electricity business, possibly even on a regional level.</w:t>
      </w:r>
    </w:p>
    <w:p>
      <w:r>
        <w:t>21. It can be assumed that the situation described in paragraphs 17 to 19 will improve in the medium to long term, also in light of the structural commitments made by the heating electricity suppliers recently examined by the Federal Cartel Office. Approximately 70% of the heating electricity quantities sold to private end customers in Germany are affected by this. Due to the aforementioned structural commitments, heating electricity prices must be published on the internet in the future or continue to be published. Furthermore, the respective network operators have committed to publish and apply temperature-dependent load profiles for heating electricity supplies and to charge only the relevant concession fee of 0.11 ct/kWh for special electricity supply contracts for heating electricity supplies in the future or continue to do so. All commitments were implemented at the latest during the first half of 2011. Nationwide or even regionally operating providers have, however, hardly been active so far. In any case, no noticeable competitive pressure can be observed for the years 2007, 2008, and 2009.</w:t>
      </w:r>
    </w:p>
    <w:p>
      <w:r>
        <w:t>22. Based on a company comparison of net revenues, certain revenue overcharges arise for the participant for the observation periods of 2007 and 2009. According to the preliminary assessment of the decision division, this indicates a violation of § 19 para. 1 in conjunction with para. 4 no. 2 GWB for the mentioned periods and, with regard to the year 2009, a violation of § 29 sentence 1 no. 1 GWB.</w:t>
      </w:r>
    </w:p>
    <w:p>
      <w:r>
        <w:t>23. Additionally, the participant discontinued its separate electricity tariff for heat pump customers, which was significantly cheaper compared to household electricity tariffs, on January 1, 2009. Since then, affected customers can only choose between the general household electricity tariff ("KS - simply good") and a special tariff for household electricity ("KS - simply cheap") that is only marginally cheaper compared to the basic supply. As a result of the restructuring of the tariff structure, heat pump customers experienced a significant price increase, unlike customers with storage or direct heating, whose special tariffs remained unchanged, which they could not respond to with a change of supplier given the unfavorable market structural conditions. This circumstance also constitutes a violation of § 19 para. 1 in conjunction with para. 4 no. 2 GWB as well as § 29 sentence 1 no. 1 GWB according to the preliminary view of the decision division. The dominant participant is at least still obliged to offer customers with heat pumps, as well as customers with storage or direct heating, a supply tariff that is adapted to their actual needs and reasonably priced until a functioning competition for heating electricity exists in their supply area.</w:t>
      </w:r>
    </w:p>
    <w:p>
      <w:r>
        <w:t>24. Finally, the decision division has determined that in the network area of the participant, no separate load profile has been applied for the supply of heating electricity to heat pump customers, but rather the general load profile for household and commercial customers was used. According to the preliminary view of the decision division, this constitutes an obstruction abuse in accordance with § 19 para. 1 in conjunction with para. 4 no. 1 GWB as well as an unfair hindrance of competitors in the sense of § 20 para. 1 GWB, without any objective justification being apparent. The obstructive effect primarily consists in that the participant imposes the more expensive household customer electricity profile on third-party suppliers for heating electricity supplies to heat pump customers. This makes it impossible for alternative providers to supply this customer group based on a load profile tailored to their actual consumption behavior, which, according to the market data available to the Federal Cartel Office, would be possible at significantly lower prices.</w:t>
      </w:r>
    </w:p>
    <w:p>
      <w:r>
        <w:t>25. The commitments offered and described in more detail above relieve the affected demanders of heating electricity financially and completely eliminate the accusation of abusive revenue or price overcharges in the years 2007 and 2009, as well as concerning heat pump customers in the period since January 1, 2009. Moreover, heat pump customers benefit not only retrospectively from the consumption-dependent financial refunds but also prospectively from the promised reintroduction of a cheaper heat pump tariff by the participant. The acceptance of the commitments and the conclusion of the proceedings lead to a quicker satisfactory and visible result for the affected demanders than a continuation of the proceedings, which would involve a lengthy legal dispute.</w:t>
      </w:r>
    </w:p>
    <w:p>
      <w:r>
        <w:t>26. Furthermore, the participant makes a significant contribution to reducing the existing market entry barriers in the heating electricity markets with the commitments of the structural measures presented. It should be emphasized that the participant has already implemented some of these measures before the decision was made, such as the publication of its heating electricity tariffs and its load profile for interruptible consumption devices (including heat pumps) on the internet.</w:t>
      </w:r>
    </w:p>
    <w:p>
      <w:r>
        <w:t>27. The reservation of revocation included in item 4 serves as a possibility to revoke the declaration of obligation in cases that may not be covered by § 32 b para. 2 GWB.</w:t>
      </w:r>
    </w:p>
    <w:p>
      <w:r>
        <w:t>V.</w:t>
        <w:br/>
        <w:t>[Fee]</w:t>
        <w:br/>
        <w:t>Legal remedy notice:</w:t>
        <w:br/>
        <w:t>An appeal against this decision is permissible. It must be submitted in writing within a period of one month starting from the delivery of the decision to the Federal Cartel Office, Kaiser-Friedrich-Straße 16, 53113 Bonn. However, it is sufficient if it is received within this period by the appellate court, the Higher Regional Court of Düsseldorf. The appeal must be substantiated by a written submission filed with the Federal Cartel Office or the appellate court. The deadline for substantiating the appeal is two months. It begins with the delivery of the contested decision and can be extended upon request by the presiding judge of the appellate court. The appeal substantiation must include a statement indicating the extent to which the decision is being contested and a request for its amendment or annulment, as well as the facts and evidence, possibly also new ones, on which the appeal is based. The appeal and its substantiation must be signed by a lawyer. The appeal has no suspensive effect. Upon request, the appellate court may order the suspensive effect of the appeal in whole or in part.</w:t>
      </w:r>
    </w:p>
    <w:p>
      <w:r>
        <w:t xml:space="preserve">Dr. Felix Engelsing  </w:t>
        <w:br/>
        <w:t xml:space="preserve">Markus Lange  </w:t>
        <w:br/>
        <w:t>Dr. Ingo Mecke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