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https://www.bundeskartellamt.de/SharedDocs/Entscheidung/EN/Fallberichte/Kartellverbot/2015/B10-41-14.pdf?__blob=publicationFile&amp;v=2</w:t>
      </w:r>
    </w:p>
    <w:p>
      <w:r>
        <w:t>Pages translated : 2</w:t>
      </w:r>
    </w:p>
    <w:p/>
    <w:p>
      <w:r>
        <w:rPr>
          <w:b/>
        </w:rPr>
        <w:t>[Pages 1–2]</w:t>
      </w:r>
    </w:p>
    <w:p>
      <w:r>
        <w:t xml:space="preserve">Case summary 18 June 2015  </w:t>
        <w:br/>
        <w:t xml:space="preserve">Fines imposed on account of the resale price maintenance of Ritter products  </w:t>
        <w:br/>
        <w:t xml:space="preserve">Sector: Production and sale of food; food retail sector  </w:t>
        <w:br/>
        <w:t xml:space="preserve">Ref.: B 10 – 041/14  </w:t>
        <w:br/>
        <w:t>Date of decision: 19 December 2014</w:t>
      </w:r>
    </w:p>
    <w:p>
      <w:r>
        <w:t xml:space="preserve">On 19 December 2014, the Bundeskartellamt imposed fines amounting to a total of approximately € 34.3 million on the manufacturer Ritter and two leading food retailers for illegally maintaining the resale price of chocolate bars of the Ritter Sport brand. The companies involved are  </w:t>
        <w:br/>
        <w:t xml:space="preserve">• Alfred Ritter GmbH &amp; Co. KG (Ritter),  </w:t>
        <w:br/>
        <w:t xml:space="preserve">• EDEKA Zentrale AG &amp; Co. KG and EDEKA Zentralhandelsgesellschaft mbH (EDEKA) and  </w:t>
        <w:br/>
        <w:t>• REWE-Zentral-Aktiengesellschaft and REWE-ZENTRALFINANZ eG (REWE).</w:t>
      </w:r>
    </w:p>
    <w:p>
      <w:r>
        <w:t>In the period from at least mid-2005 to 2008, staff of these companies agreed on resale price maintenance concerning the setting of retail prices for the products Ritter Sport 100g, Ritter Sport Minis 150g and Ritter Sport Big Chocolate 250g. Within the framework of the retail price increases aimed at by Ritter in 2005 and 2008, REWE and EDEKA were offered financial benefits regarding the purchase price in return for them raising the retail price at an agreed date and by an agreed amount. The financial benefits, which were usually agreed and put down in writing in the context of annual agreements, included refunds, premiums for each item sold, discounts on the purchase price and a delayed increase in purchase prices, which came into effect only a few weeks after the increase in retail prices (“supply at old price”).</w:t>
      </w:r>
    </w:p>
    <w:p>
      <w:r>
        <w:t>These financial concessions served to cushion the increase in the purchase prices; these were increased in 2005 and 2008 at the same time as the retail prices. They reduced the “net net price“, i.e. the price the retailers effectively had to pay to purchase Ritter products. Ritter thus put together a package deal which, in return for granting a discount on the purchase price, included the implementation of the new retail price concept.</w:t>
      </w:r>
    </w:p>
    <w:p>
      <w:r>
        <w:t>The outcome was that in 2005 and 2008, Ritter thus succeeded in agreeing an increase in retail prices with its negotiation partners REWE and EDEKA to the level it desired. The increases in retail prices were implemented nationwide by REWE and EDEKA in 2005 and 2008. The agreed retail prices were intended to be minimum prices which were not to be undercut by the retailers in the following years 2006 and 2007.</w:t>
      </w:r>
    </w:p>
    <w:p>
      <w:r>
        <w:t>The Bundeskartellamt based its calculation of the fines on the assumption of a single offence. As far as the setting of fines against the retailers was concerned, in all the gain and harm potential derived from the turnover achieved from the infringement was of relevance in accordance with the Bundeskartellamt’s Guidelines for the setting of fines. The decisive factor in calculating the fine in the case of the manufacturer Ritter was the statutory fines framework, based exclusively on 10 per cent of the company’s total turnover.</w:t>
      </w:r>
    </w:p>
    <w:p>
      <w:r>
        <w:t xml:space="preserve">With regard to the retailer Rewe, its cooperation in the proceedings was taken into account as a mitigating factor in the calculation of the fine. No fines were imposed on natural persons. All the companies fined have come to a negotiated agreement (settlement). The fines imposed are now final. The case summary gives an account of the situation as of 18 June 2015 and will not be updated.  </w:t>
        <w:br/>
        <w:t>1 Cf. Guidelines for the setting of fines in cartel administrative offence proceedings, 25 June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