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http://www.bundeskartellamt.de/SharedDocs/Entscheidung/DE/Fallberichte/Missbrauchsaufsicht/2009/B10-71-08.pdf;jsessionid=F24C354CE0B4DFCB878DD65E7059648E.2_cid371?__blob=publicationFile&amp;v=4</w:t>
      </w:r>
    </w:p>
    <w:p>
      <w:r>
        <w:t>Pages translated : 2</w:t>
      </w:r>
    </w:p>
    <w:p/>
    <w:p>
      <w:r>
        <w:rPr>
          <w:b/>
        </w:rPr>
        <w:t>[Pages 1–2]</w:t>
      </w:r>
    </w:p>
    <w:p>
      <w:r>
        <w:t>Case Report</w:t>
        <w:br/>
        <w:t>Abuse Proceedings Against Gruppen-Gas- und Elektrizitätswerk Bergstraße AG</w:t>
        <w:br/>
        <w:t>(GGEW) for Obstructive Abuse Through Excessive Concession Fees</w:t>
        <w:br/>
        <w:t>Industry Energy Supply (40)</w:t>
        <w:br/>
        <w:t>File Number B 10 - 71/08</w:t>
        <w:br/>
        <w:t>Date of Decision 3 June 2009</w:t>
        <w:br/>
        <w:t>Case Description:</w:t>
        <w:br/>
        <w:t>1. The Federal Cartel Office was able to conclude an abuse proceeding directed against GGEW by declaring binding commitments from GGEW. In these commitments, GGEW undertook, until 31 December 2011, to claim concession fees from gas suppliers, who supply special contract customers within the network area of the parties involved, as defined in § 1 para. 4 of the Concession Fees Ordinance, only up to a maximum of 0.03 ct/kWh. This does not apply with regard to so-called cooking gas customers (consuming customers with a consumption of less than 2,500 kWh per year).</w:t>
        <w:br/>
        <w:t>2. At the end of November 2008, an independent gas supplier complained to the Federal Cartel Office about the obstruction of gas deliveries into the network area of GGEW due to the demand for excessive concession fees. The owners of GGEW are several cities and municipalities, in whose area GGEW is the basic supplier of gas. The cities and municipalities are collectively dominant in the market for the paid granting of rights of way on public property in their area. The concession contract allows GGEW some leeway in determining the concession fee. Thus, GGEW, as the network operator, holds a market-dominating position derived from the cities and municipalities in the market for the paid granting of rights of way. Furthermore, it is also dominant in the network service market, as well as in the downstream market for the supply of non-metered end customers in the network area as a gas supplier.</w:t>
        <w:br/>
        <w:t>3. GGEW had established quantity limits for the classification of customers as tariff or special contract customers in the concession contract with the cities and municipalities of the network area. The classification as a tariff customer instead of a special customer results in an increase in the concession fee for heating gas customers from 0.03 ct/kWh to up to 0.27 ct/kWh.</w:t>
        <w:br/>
        <w:t>4. The demand for excessive concession fees constitutes, in the opinion of the Federal Cartel Office, a competition-relevant obstructive abuse. Excessive concession fees siphon off a significant portion of the revenues of gas suppliers operating in the network area. This only seemingly leads to a uniform increase in the costs of gas deliveries from the local gas supplier and independent gas suppliers. An independent gas supplier must pay the concession fee from its surpluses, which results in a reduction of the margin. For the municipality as the owner of the local gas supplier, it does not matter whether the profit of the local gas supplier comes to it as a concession fee or as a profit distribution. In the latter case, it would have to pay trade tax and possibly corporate tax on the profit. Upon closer examination, the costs of independent gas suppliers are thus unilaterally increased, which can at best allow them to pass on more favorable conditions only partially to consumers in the network area or completely hinder them from entering the market.</w:t>
        <w:br/>
        <w:t>5. The establishment of quantity limits for the classification as a tariff or special contract customer in the concession contract also contradicts the Ordinance on Concession Fees for Electricity and Gas (Concession Fees Ordinance - KAV). This contains a non-dispositive legal definition of the term tariff customer.</w:t>
        <w:br/>
        <w:t>6. Furthermore, the conclusion of special contracts, due to the unbundling rules of the EnWG, is solely at the discretion of the basic supplier and is removed from the regulatory authority of the municipalities and the network operator between whom the concession contract is concluded.</w:t>
        <w:br/>
        <w:t>7. The commitments offered by GGEW eliminate the behavior described above. With regard to the exception for cooking gas customers, the 10th Decision Division has exercised its discretion due to the minor significance for the emerging competition in the gas sector.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