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https://www.bundeskartellamt.de/SharedDocs/Entscheidung/EN/Fallberichte/Kartellverbot/2013/B11-11-08.pdf;jsessionid=BC2657283EF0B29652CEBF18950D4B33.1_cid362?__blob=publicationFile&amp;v=2</w:t>
      </w:r>
    </w:p>
    <w:p>
      <w:r>
        <w:t>Pages translated : 4</w:t>
      </w:r>
    </w:p>
    <w:p/>
    <w:p>
      <w:r>
        <w:rPr>
          <w:b/>
        </w:rPr>
        <w:t>[Pages 1–3]</w:t>
      </w:r>
    </w:p>
    <w:p>
      <w:r>
        <w:t xml:space="preserve">1  </w:t>
        <w:br/>
        <w:t xml:space="preserve">Case Summary 27 May 2013  </w:t>
        <w:br/>
        <w:t xml:space="preserve">Fine proceedings against confectionery manufacturers  </w:t>
        <w:br/>
        <w:t xml:space="preserve">Sector: Manufacture of confectionery products  </w:t>
        <w:br/>
        <w:t xml:space="preserve">Ref: B11-11/08  </w:t>
        <w:br/>
        <w:t xml:space="preserve">Date of Decision: 31 January 2013  </w:t>
        <w:br/>
        <w:t xml:space="preserve">On 31 January 2013, the Bundeskartellamt concluded its fine proceedings against several manufacturers of branded confectionery products and imposed fines totaling approx. 63 million Euros on 12 companies and several sales executives. The proceedings had been initiated after a leniency application was filed by the company Mars GmbH. In February 2008, the Bundeskartellamt conducted sector-wide searches which triggered several more leniency applications.  </w:t>
        <w:br/>
        <w:t xml:space="preserve">The investigations focused on coordinated price increases for chocolate products, which had occurred at the beginning of 2008. In 2007, prices for the commodities milk and cocoa had increased significantly. The manufacturers of chocolate products had to decide whether and to what extent they could pass on this cost increase to the retail trade (and ultimately the end consumer) by raising the prices of their products. Some of them coordinated the timing and scope of the price increases with their competitors in a direct and confidential exchange. Furthermore, in various discussion groups, several confectionery manufacturers exchanged competitively sensitive information, in particular on the state of their annual negotiations with retailers.  </w:t>
        <w:br/>
        <w:t>Three different sets of infringements were prosecuted and fined: The first concerned price agreements between two manufacturers of chocolate blocks. The second related to price agreements and an additional anti-competitive information exchange between manufacturers of confectionery. This information exchange took place at meetings of a discussion group, referred to as "four party talks". The third concerned an anti-competitive information exchange between several confectionery manufacturers at meetings of a working group of the Association of the German Confectionery Industry (Deutsche Süßwarenindustrie e.V.).</w:t>
      </w:r>
    </w:p>
    <w:p>
      <w:r>
        <w:t xml:space="preserve">2  </w:t>
        <w:br/>
        <w:t xml:space="preserve">Competition conditions in the confectionery sector  </w:t>
        <w:br/>
        <w:t xml:space="preserve">Confectionery products can be divided into three categories: chocolate products, sugar confectionery, and biscuits. Chocolate products are sold as chocolate blocks, chocolate bars, so-called chocolate bites, and pralines.  </w:t>
        <w:br/>
        <w:t xml:space="preserve">In most cases, the price agreements and information exchange took place between direct competitors, e.g., manufacturers of chocolate blocks, chocolate bars, or biscuits. The confectionery manufacturers involved in the agreements were also indirect competitors for shelf space in retail outlets, in particular with regard to the placing of their products. Confectionery products are predominantly impulse products. These are articles for which, from a consumer's perspective, there is no recurrent need and which are bought spontaneously. For this reason, in retail stores, confectionery is placed not only on the shelves but also more prominently in special display areas and near the checkout. The percentage of confectionery sold via these special placements can amount to up to 50% of the total sales of the respective products, depending on the category. While the placement of individual confectionery products on shelves is (at least in the short term) static, special presentation areas can be used to display a mixture of products of different confectionery categories.  </w:t>
        <w:br/>
        <w:t xml:space="preserve">Price agreements for chocolate blocks (fines totaling approx. 21.7 million Euros)  </w:t>
        <w:br/>
        <w:t xml:space="preserve">In the first set of infringements, one representative each from Kraft Foods Deutschland GmbH and Alfred Ritter GmbH &amp; Co. KG informed each other in a series of telephone calls between March and September 2007 of their intended price increases for chocolate blocks scheduled for the beginning of 2008. Kraft and Ritter are the two market leaders for chocolate blocks in Germany, Kraft with its brand "Milka" and Ritter with its brand "Ritter Sport". In early 2008, the manufacturers' selling prices for the 100g bars of the two companies were raised by 15 to 25% and the manufacturers' recommended retail prices were raised by 10 to 15 Cents. This could only be proved on account of a leniency application from Ritter.  </w:t>
        <w:br/>
        <w:t xml:space="preserve">"Four party" discussion group: price agreements and exchange of information (fines totaling approx. 21.9 million Euros)  </w:t>
        <w:br/>
        <w:t xml:space="preserve">The second set of infringements concerned an informal discussion group of high-ranking sales executives of the confectionery manufacturers Mars GmbH, Nestlé Kaffee und Schokoladen GmbH, Alfred Ritter GmbH &amp; Co. KG, and Haribo GmbH &amp; Co. KG. Between spring 2006 and February 2008, this group met on a regular basis every three months.  </w:t>
        <w:br/>
        <w:t xml:space="preserve">Between January and August 2007, the representatives of the chocolate manufacturers Mars, Nestlé, and Ritter used these meetings to coordinate price increases for several chocolate products. The coordination concerned the timing of the price rises (January 2008) and the amount of the intended increase in their ex-factory or manufacturer selling prices. Mars and Nestlé are two of the leading suppliers of chocolate bars and chocolate bites, selling well-known brands such as Mars, Bounty, Milky Way, Snickers, Twix, Balisto, M&amp;M's (Mars), and KitKat, Lion, Nuts, Choco Crossies, or Smarties (Nestlé). The price increases for these products at the beginning of 2008 averaged around 10% and were to some extent implemented by downsizing the packet contents.  </w:t>
        <w:br/>
        <w:t xml:space="preserve">At their meetings, the members of the discussion group also exchanged competitively sensitive information about the state and progress of negotiations between the companies and various major retailers. In addition to the three chocolate manufacturers, a sales representative of Haribo also participated in this information exchange. The companies informed each other about demands from the retail trade for rebates and about how the manufacturers had reacted to these demands. This information enabled the companies to adjust their own strategies in the negotiations.  </w:t>
        <w:br/>
        <w:t xml:space="preserve">Exchange of information via working group of Confectionery Industry Association (fines totaling around 19.6 million Euros)  </w:t>
        <w:br/>
        <w:t xml:space="preserve">At least between the end of 2003 and the beginning of 2008, information was also exchanged at meetings of a working group of the Association of the German Confectionery Industry. This information concerned the state of negotiations with the retail trade at annual talks on conditions and demands, as well as information on intended list price increases.  </w:t>
        <w:br/>
        <w:t xml:space="preserve">The working group met regularly up to five times a year. The members of the working group were manufacturers of all confectionery product categories, i.e., chocolate products, sugar confectionery, and biscuits. The participating company representatives held at least the position of sales managers; in the case of the smaller companies, often the managing directors participated themselves.  </w:t>
        <w:br/>
        <w:t>The companies involved in this illegal information exchange were, in addition to Mars and Ritter, the leading biscuit manufacturers Bahlsen GmbH &amp; Co. KG and Griesson de Beukelaer GmbH &amp; Co. KG, as well as Storck GmbH &amp; Co. KG, Katjes Fassin GmbH + Co. KG, CFP Brands</w:t>
      </w:r>
    </w:p>
    <w:p>
      <w:r>
        <w:rPr>
          <w:b/>
        </w:rPr>
        <w:t>[Pages 4–4]</w:t>
      </w:r>
    </w:p>
    <w:p>
      <w:r>
        <w:t xml:space="preserve">4  </w:t>
        <w:br/>
        <w:t xml:space="preserve">Süßwarenhandels GmbH &amp; Co. KG, Feodora Chocolade GmbH &amp; Co. KG, Piasten GmbH &amp; Co. KG, and Zentis GmbH &amp; Co. KG.  </w:t>
        <w:br/>
        <w:t xml:space="preserve">Applications for leniency and settlements  </w:t>
        <w:br/>
        <w:t>In accordance with the Bundeskartellamt's Leniency Programme, the fine against Mars was completely waived. The fine against Ritter was waived only in respect of its bilateral price-fixing agreements with Kraft. In calculating the fines, it was also taken into account that the companies Ritter, Nestlé, Kraft, and Katjes had cooperated with the Bundeskartellamt in clarifying the facts of the case. The proceedings against Kraft, Haribo, Storck, Katjes, Piasten, and Zentis could be concluded by way of settlement. The orders imposing their fines are now final. The other companies have lodged appeals against their fines, which are still pending at the Düsseldorf Higher Regional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