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https://www.bundeskartellamt.de/SharedDocs/Entscheidung/DE/Fallberichte/Kartellverbot/2017/B11-12-08_aktualisiert.pdf?__blob=publicationFile&amp;v=4</w:t>
      </w:r>
    </w:p>
    <w:p>
      <w:r>
        <w:t>Pages translated : 3</w:t>
      </w:r>
    </w:p>
    <w:p/>
    <w:p>
      <w:r>
        <w:rPr>
          <w:b/>
        </w:rPr>
        <w:t>[Pages 1–3]</w:t>
      </w:r>
    </w:p>
    <w:p>
      <w:r>
        <w:t xml:space="preserve">Case Report - UPDATE - January 17, 2017  </w:t>
        <w:br/>
        <w:t xml:space="preserve">Fine Proceedings Against Manufacturers of Consumer Goods  </w:t>
        <w:br/>
        <w:t xml:space="preserve">Industry: Manufacturing of Consumer Goods  </w:t>
        <w:br/>
        <w:t xml:space="preserve">File Number: B11-12/08  </w:t>
        <w:br/>
        <w:t xml:space="preserve">Date of February 2011 and March 22, 2013  </w:t>
        <w:br/>
        <w:t xml:space="preserve">Decisions:  </w:t>
        <w:br/>
        <w:t xml:space="preserve">The antitrust proceedings against manufacturers of consumer goods were concluded in December 2016 after Nestlé Deutschland AG and its responsible employee withdrew their objections against the fine notice issued by the Federal Cartel Office (Bundeskartellamt).  </w:t>
        <w:br/>
        <w:t xml:space="preserve">Between 2011 and 2013, the Federal Cartel Office concluded fine proceedings against manufacturers of consumer goods for participating in an anti-competitive exchange of information and imposed fines totaling approximately 57 million euros against four companies and their responsible employees1.  </w:t>
        <w:br/>
        <w:t xml:space="preserve">High-ranking sales employees of the involved companies regularly met between October 2005 and January 2008 in a confidential discussion group, the so-called "Hema Sales Circle"2, where they exchanged competitively sensitive information. For instance, there was an exchange regarding the status and progress of negotiations with companies in the food retail sector during annual meetings and special demands, as well as – at least in part – about intended increases in list prices. Finally, information on current percentage changes in sales of the represented companies was exchanged.  </w:t>
        <w:br/>
        <w:t xml:space="preserve">1 cf. Press Releases of the Federal Cartel Office from March 17, 2011, and March 27, 2013 (http://www.bundeskartellamt.de/SharedDocs/Meldung/DE/Pressemitteilungen/2011/17_03_2011_Hema.html and http://www.bundeskartellamt.de/SharedDocs/Meldung/DE/Pressemitteilungen/2013/27_03_2013_Hema.html)  </w:t>
        <w:br/>
        <w:t>2 The name was derived from the manufacturer brands GmbH (HEMA), which, apart from a similarity in name, had no substantive or organizational connections.</w:t>
      </w:r>
    </w:p>
    <w:p>
      <w:r>
        <w:t xml:space="preserve">Exchanged with individual product groups or with specific food retailers. The affected product areas included chocolate goods, hot beverages such as instant coffee and instant coffee specialties, frozen pizza, cereals/muesli, pet food, and detergents. In these product areas, at least two of the companies represented in the discussion group were active and thus stood in direct competition with each other.  </w:t>
        <w:br/>
        <w:t xml:space="preserve">The companies represented in the discussion group gained an informational advantage through the exchange of information, thereby reducing uncertainties about market developments. In particular, the communications about the intention to increase list prices, as well as negotiations in annual meetings and special demands of the other companies allowed them to adjust their respective pricing and negotiation strategies regarding annual meetings and special demands to the circumstances.  </w:t>
        <w:br/>
        <w:t xml:space="preserve">In one instance, there was an explicit agreement between Nestlé and Kraft regarding a list price increase for the so-called Family-Cappuccino, a product line of instant cappuccino, at the turn of the year 2007/20083.  </w:t>
        <w:br/>
        <w:t xml:space="preserve">The proceedings were initiated in spring 2008 following a leniency application by Mars GmbH, Viersen. Already in February 2011, legally binding fine notices were issued against Dr. August Oetker Nahrungsmittel KG, Kraft Foods Deutschland GmbH, and Unilever Deutschland GmbH, which were only minimally involved in the exchange during the accusation period, as part of a consensual settlement (so-called settlement). In March 2013, the fine notice against Nestlé Deutschland AG and a personally responsible employee was issued. Initially, objections were filed against this, which the Higher Regional Court would have had to decide3. A few weeks before the main hearing began, Nestlé and its responsible employee withdrew their objections.  </w:t>
        <w:br/>
        <w:t xml:space="preserve">In applying the leniency policy of the Federal Cartel Office, no fine was imposed on Mars. In determining the fines against the companies Nestlé and Kraft, it was taken into account that they cooperated with the Federal Cartel Office in clarifying the allegations under the leniency policy. No fine was imposed on Henkel AG &amp; Co. KGaA, Düsseldorf, which was also involved in the anti-competitive exchange, as the company's behavior was already the subject of the antitrust administrative offense proceedings "Drugstore Products"4.  </w:t>
        <w:br/>
        <w:t>4 cf. Press Release of the Federal Cartel Office from February 20, 2008: http://www.bundeskartellamt.de/SharedDocs/Meldung/DE/Pressemitteilungen/2008/20_02_2008_Drogerieartikelhersteller-Bu%C3%9Fgeld.html?nn=3591568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