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https://www.bundeskartellamt.de/SharedDocs/Entscheidung/EN/Fallberichte/Kartellverbot/2013/B11-13-06.pdf?__blob=publicationFile&amp;v=2</w:t>
      </w:r>
    </w:p>
    <w:p>
      <w:r>
        <w:t>Pages translated : 4</w:t>
      </w:r>
    </w:p>
    <w:p/>
    <w:p>
      <w:r>
        <w:rPr>
          <w:b/>
        </w:rPr>
        <w:t>[Pages 1–3]</w:t>
      </w:r>
    </w:p>
    <w:p>
      <w:r>
        <w:t>1</w:t>
        <w:br/>
        <w:t xml:space="preserve">Case Summary 27 May 2013  </w:t>
        <w:br/>
        <w:t xml:space="preserve">Fine proceedings against companies in the flour milling industry  </w:t>
        <w:br/>
        <w:t xml:space="preserve">Sector: Manufacture and sale of flour  </w:t>
        <w:br/>
        <w:t xml:space="preserve">Ref: B11 – 13/06  </w:t>
        <w:br/>
        <w:t>Date of the decisions: October 2011 - February 2013</w:t>
      </w:r>
    </w:p>
    <w:p>
      <w:r>
        <w:t>On 19 February 2013 the Bundeskartellamt concluded its fine proceedings against companies in the milling industry and imposed fines amounting to approx. 65 million euros on 23 companies, the association of German mills (Verband Deutscher Mühlen e.V.) as well as their representatives involved.</w:t>
      </w:r>
    </w:p>
    <w:p>
      <w:r>
        <w:t>In February 2008, on information from the market about agreements on prices and quantities and the coordinated shutdown of mills, the Bundeskartellamt searched several milling companies throughout the whole of Germany. Subsequently, several companies filed applications for leniency and offered their cooperation in clarifying the facts of the case.</w:t>
      </w:r>
    </w:p>
    <w:p>
      <w:r>
        <w:t>Since 2001 representatives of the milling companies involved had agreed on price increases, customer allocation and supply volumes in regular rounds of talks. The agreements applied to all forms of common wheat and rye flour distribution, i.e. to industrial customers (such as e.g. bakery product manufacturers and bakery chains), artisan bakers and the direct sale of flour in small packages (max. 1 kg packets) to food retailers. In addition, the companies coordinated capacity planning by shutting down mills or preventing mills which had already been shut down from being returned to operation.</w:t>
      </w:r>
    </w:p>
    <w:p>
      <w:r>
        <w:t>Some of the rounds of talks took place in northern Germany (so-called "Hanover round"). The agreements concluded there on prices, volumes and customer allocation for the sale of flour products and coordinated shutdowns applied to sales to industrial customers and bakers in Germany with the exception of the federal states of Bavaria, Baden-Württemberg and the Saarland, the southern region of Rhineland-Palatinate and the southern region of Hesse. Talks also took place in south-west Germany, where the agreements on prices, volumes and customer allocation for the sale of flour products applied to sales to industrial customers and bakers in Baden-Württemberg and in the Saarland, the southern regions of Rhineland-Palatinate and Hesse and the north of Bavaria (so-called "Bad Dürkheim" and "Hirschberg" rounds). In contrast to the situation in northern Germany, the agreements here with bakers were mainly concluded in separate "baker rounds" according to region. Finally, there was the so-called "small package round" in which agreements were concluded nationwide on prices and volumes for the sale of household flour in small packages for the retail trade.</w:t>
      </w:r>
    </w:p>
    <w:p>
      <w:r>
        <w:t xml:space="preserve">According to the Bundeskartellamt's investigations, more than 60 milling companies participated in the uncovered agreements. For reasons of proportionality and to save resources, the Bundeskartellamt decided to limit the proceedings to the 23 companies which regularly attended at least one of the key cartel meetings, the so-called "Hanover round" for north/west and east Germany, the "Bad Dürkheim" and "Hirschberg" rounds for south-west Germany or the "small package" round for 1 kg household packages, and so were closest involved in the agreements. These included:  </w:t>
        <w:br/>
        <w:t xml:space="preserve">- VK Mühlen AG  </w:t>
        <w:br/>
        <w:t xml:space="preserve">- Werhahn Mühlen GmbH &amp; Co. KG  </w:t>
        <w:br/>
        <w:t xml:space="preserve">- Georg Plange GmbH &amp; Co. KG  </w:t>
        <w:br/>
        <w:t xml:space="preserve">- Mühle Rüningen GmbH &amp; Co. KG  </w:t>
        <w:br/>
        <w:t xml:space="preserve">- Pfälzische Mühlenwerke GmbH  </w:t>
        <w:br/>
        <w:t xml:space="preserve">- Grain Millers GmbH &amp; Co. KG (including subsidiaries Bremer Rolandmühle Erling GmbH &amp; Co. KG, Mills United Hovestadt &amp; Münstermann GmbH and Heyl GmbH &amp; Co. KG)  </w:t>
        <w:br/>
        <w:t xml:space="preserve">- Saalemühle Alsleben GmbH  </w:t>
        <w:br/>
        <w:t xml:space="preserve">- Flechtorfer Mühle Walter Thönebe GmbH  </w:t>
        <w:br/>
        <w:t xml:space="preserve">- Gebr. Engelke Große Mühle Hasede-Hildesheim GmbH &amp; Co. KG  </w:t>
        <w:br/>
        <w:t xml:space="preserve">- Magdeburger Mühlenwerke GmbH  </w:t>
        <w:br/>
        <w:t xml:space="preserve">- Oderland Mühlenwerke Müllrose GmbH &amp; Co. KG  </w:t>
        <w:br/>
        <w:t xml:space="preserve">- Hedwigsburger Okermühle GmbH  </w:t>
        <w:br/>
        <w:t xml:space="preserve">- Thüringer Mühlenwerke GmbH  </w:t>
        <w:br/>
        <w:t xml:space="preserve">- Albert Mühlschlegel GmbH &amp; Co. KG  </w:t>
        <w:br/>
        <w:t xml:space="preserve">- Friedrich Wilhelm Borgstedt Milser Mühle GmbH  </w:t>
        <w:br/>
        <w:t xml:space="preserve">- Südhannoversche Mühlenwerke Engelke GmbH  </w:t>
        <w:br/>
        <w:t xml:space="preserve">- Frießinger Mühle GmbH  </w:t>
        <w:br/>
        <w:t xml:space="preserve">- Bliesmühle GmbH  </w:t>
        <w:br/>
        <w:t xml:space="preserve">- Karl Bindewald Kupfermühle GmbH  </w:t>
        <w:br/>
        <w:t xml:space="preserve">- Cramer Mühle KG  </w:t>
        <w:br/>
        <w:t xml:space="preserve">- Heinrich Thylmann GmbH &amp; Co. KG Kilianstädtermühle  </w:t>
        <w:br/>
        <w:t xml:space="preserve">- Rheintal Mühlen GmbH  </w:t>
        <w:br/>
        <w:t>- Heiss Mühle GmbH</w:t>
      </w:r>
    </w:p>
    <w:p>
      <w:r>
        <w:t>A representative of the association of German mills had also participated in two of the cartel rounds in south-west Germany and assisted the representatives from the various mills in organizing cartel meetings and coordinating the agreements.</w:t>
      </w:r>
    </w:p>
    <w:p>
      <w:r>
        <w:t>In setting the fines according to the fining guidelines in place on conclusion of the proceedings, the Bundeskartellamt took into account that most of the companies concerned are one product companies, which are almost exclusively active in the production and sale of flour. In the case of almost all the cartel members, the otherwise usual means of setting fines for such serious competition law violations would have led to fines exceeding the legal upper limit of 10 % of the annual worldwide turnover. This would have meant that in nearly all cases the fines would have amounted to 10 % of the company's total turnover and the level of fine would not have reflected the different levels of gravity and duration of the participation in the cartel. As an exception, the Bundeskartellamt has reduced the fines in this case to make the necessary differentiation. In a similar cartel case, the European Commission also lowered the fines for the same considerations (see Commission press release of 28 March 2013 in the "window mountings" case).</w:t>
      </w:r>
    </w:p>
    <w:p>
      <w:r>
        <w:t>In individual cases, the economic viability of the companies involved was also taken into consideration, in particular the fact that the French and Dutch competition authorities have also imposed in some cases heavy fines on German mills for their involvement in other agreements (territorial agreements with French mills and involvement in a cartel in the Netherlands). In one case, the Dutch competition authority NMa and the Bundeskartellamt conducted coordinated proceedings to set the fines at such a level as to enable the company to pay the fines in installments in order not to jeopardize its existence.</w:t>
      </w:r>
    </w:p>
    <w:p>
      <w:r>
        <w:t xml:space="preserve">In setting the fines, the Bundeskartellamt also took into account that along with VK Mühlen AG, the milling companies of the Werhahn group and the Grain Millers group also cooperated extensively in clarifying the accusations by taking advantage of the authority's leniency programme. The fines for these companies were considerably reduced. 17 of 24 proceedings could be concluded by settlement, which was also considered in the calculation of the fines.  </w:t>
        <w:br/>
        <w:t>1 see: http://europa.eu/rapid/press-release_IP-12-313_en.htm</w:t>
      </w:r>
    </w:p>
    <w:p>
      <w:r>
        <w:rPr>
          <w:b/>
        </w:rPr>
        <w:t>[Pages 4–4]</w:t>
      </w:r>
    </w:p>
    <w:p>
      <w:r>
        <w:t xml:space="preserve">4  </w:t>
        <w:br/>
        <w:t>Appeals were lodged against the other orders imposing fines and are still pending at the Düsseldorf Higher Regional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