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https://www.bundeskartellamt.de/SharedDocs/Entscheidung/DE/Fallberichte/Kartellverbot/2019/B11-13-13.pdf?__blob=publicationFile&amp;v=5</w:t>
      </w:r>
    </w:p>
    <w:p>
      <w:r>
        <w:t>Pages translated : 5</w:t>
      </w:r>
    </w:p>
    <w:p/>
    <w:p>
      <w:r>
        <w:rPr>
          <w:b/>
        </w:rPr>
        <w:t>[Pages 1–3]</w:t>
      </w:r>
    </w:p>
    <w:p>
      <w:r>
        <w:t>1</w:t>
        <w:br/>
        <w:t>Case Report - UPDATE - April 15, 2019</w:t>
        <w:br/>
        <w:t>Fine Proceedings Against Manufacturers of Industrial Batteries</w:t>
        <w:br/>
        <w:t>Industry: Manufacturing of Industrial Batteries</w:t>
        <w:br/>
        <w:t>File Number: B11-13/13</w:t>
        <w:br/>
        <w:t>Dates: March 31, 2017, June 26, 2017, March 19, 2019</w:t>
        <w:br/>
        <w:t>Decisions:</w:t>
        <w:br/>
        <w:t>The antitrust proceedings against manufacturers of industrial batteries were conclusively resolved in April 2019, after a company that initially filed an objection against a fine notice decided to cooperate under the bonus scheme and agreed to a consensual settlement.</w:t>
      </w:r>
    </w:p>
    <w:p>
      <w:r>
        <w:t>The Federal Cartel Office has thus concluded the fine proceedings against manufacturers of industrial batteries due to agreements regarding the imposition of the so-called "metal surcharge" (MTZ) as a significant price component of lead batteries and imposed fines totaling approximately 24 million Euros against two companies and their responsible employees.</w:t>
      </w:r>
    </w:p>
    <w:p>
      <w:r>
        <w:t>The affected companies are Hawker GmbH, Hagen, and Hoppecke Batterien GmbH &amp; Co. KG, Brilon. The proceedings were initiated with an industry-wide search in April 2014 following a whistleblower application by Exide Technologies GmbH, Büdingen.</w:t>
      </w:r>
    </w:p>
    <w:p>
      <w:r>
        <w:t>The subject of the proceedings involved two areas of offense: on the one hand, agreements in the distribution of so-called stationary batteries ("fixed" batteries, for example, used in emergency power supply) and on the other hand, agreements in the distribution of so-called traction batteries (used particularly in industrial trucks such as forklifts). The mentioned companies Exide, Hawker, and Hoppecke are the leading providers of industrial batteries in Germany.</w:t>
      </w:r>
    </w:p>
    <w:p>
      <w:r>
        <w:t>The proceedings against three other manufacturers of industrial batteries were discontinued due to their significantly lower contributions to the offenses and market significance compared to the aforementioned companies.</w:t>
      </w:r>
    </w:p>
    <w:p>
      <w:r>
        <w:t>2</w:t>
        <w:br/>
        <w:t>The proceedings against the association were also not continued, particularly because significant parts of the agreements took place outside the association meetings.</w:t>
      </w:r>
    </w:p>
    <w:p>
      <w:r>
        <w:t>Metal Surcharge</w:t>
        <w:br/>
        <w:t>The MTZ is charged by suppliers of stationary and traction batteries in addition to the list price to pass on short-term changes, especially in procurement costs for lead or lead alloys, which constitute at least 40% of the total manufacturing costs for lead accumulators, to the buyers. In some cases, the MTZ also considers other cost factors, such as antimony, which is contained in the lead alloys used.</w:t>
      </w:r>
    </w:p>
    <w:p>
      <w:r>
        <w:t>The MTZ is in itself a permissible instrument to automatically adjust changes in raw material prices without requiring new negotiations each time in the sales price of products. The supplier can thus pass on its raw material price risk to the buyer. Suppliers and buyers are, of course, free to agree on such an automatism. However, it is clearly impermissible for suppliers to coordinate among themselves to introduce or maintain such a surcharge as a standard across the industry, thereby eliminating competition for other pricing models.</w:t>
      </w:r>
    </w:p>
    <w:p>
      <w:r>
        <w:t>An MTZ already existed in the 1970s. It was introduced against the backdrop of rising raw material prices in consultation with the former Central Office for Telecommunications Technology (FTZ) based in Darmstadt, which was responsible for procurement for the Deutsche Bundespost, one of the main buyers of stationary batteries in Germany at that time. Subsequently, the MTZ was uniformly charged by all battery manufacturers to their customers. If world market prices for lead and antimony exceeded a certain "base price" (511.30 Euros per ton of lead and 2,045.20 Euros per ton of antimony), which was already the basis for the calculation of the list prices for the respective batteries, the MTZ was charged in consultation with the FTZ and invoiced to customers in addition to the list prices; otherwise, the collection of the MTZ was suspended.</w:t>
      </w:r>
    </w:p>
    <w:p>
      <w:r>
        <w:t>In the 1990s, prices for lead and antimony (with few exceptions) fell below the mentioned thresholds. This resulted in the MTZ not being charged at all or only to a limited extent for several years. At the same time, the privatization of Deutsche Bundespost occurred at the end of the 1990s, leading to the dissolution of the FTZ.</w:t>
      </w:r>
    </w:p>
    <w:p>
      <w:r>
        <w:t>During the year 2003, raw material prices on the commodity exchanges rose, including for lead and antimony. Lead prices rose above the value of 511.30 Euros in November 2003 and then</w:t>
      </w:r>
    </w:p>
    <w:p>
      <w:r>
        <w:t>3</w:t>
        <w:br/>
        <w:t>continued to rise steadily to a peak value of approximately 2,800 Euros in October 2007. Then the lead price fell again to about 600 Euros at the beginning of 2009, only to rise again to over 2,000 Euros by early/mid-2011. Since the end of 2011, the lead price has been moving within a price range of 1,300 to 1,800 Euros. The price for antimony rose to approximately 4,000 Euros by the year 2006, remained constant until 2010, and then increased to about 10,500 Euros in 2011 and approximately 9,300 Euros in 2012. In 2013, it stabilized at around 8,500 Euros.</w:t>
      </w:r>
    </w:p>
    <w:p>
      <w:r>
        <w:t>Stationary Batteries</w:t>
        <w:br/>
        <w:t>Against the backdrop of rising lead prices in 2003, representatives of companies including Exide, Hawker, and Hoppecke reached an agreement in early 2004, prior to the revival of the MTZ, regarding the distribution of stationary batteries in the domestic market to pass on changes in raw material prices of the electrode material lead directly and continuously in the form of an MTZ linked to the lead price quotations on the London Commodity Exchange (London Metal Exchange, hereinafter LME) in the sales price for these batteries and to pass these on to the buyers, which was to be implemented towards customers from early 2004.</w:t>
      </w:r>
    </w:p>
    <w:p>
      <w:r>
        <w:t>This agreement regarding the "whether" of passing on lead costs through an MTZ was continuously confirmed by the companies until the search by the Federal Cartel Office in April 2014 at the annual meetings of the Working Group on Stationary Batteries, which took place once or twice a year.</w:t>
      </w:r>
    </w:p>
    <w:p>
      <w:r>
        <w:t>No agreement was reached on the details of the calculation method and the amount of the MTZ (the "how" of passing on lead costs). For example, there were differences regarding the amount of the underlying "base price for lead," the inclusion of antimony and other surcharges, and the calculation of the average LME lead price. However, all applied MTZ models had in common that a change in the LME stock price for lead promptly resulted in a change in the price component MTZ.</w:t>
      </w:r>
    </w:p>
    <w:p>
      <w:r>
        <w:t>Base, list, or total prices of stationary batteries were not the subject of the agreement.</w:t>
      </w:r>
    </w:p>
    <w:p>
      <w:r>
        <w:t>From early 2004, the companies communicated and calculated raw material-related price increases for stationary batteries to their customers using the MTZ, particularly towards large customers, but only partially and to a lesser extent or at a later time. In some cases, the MTZ calculation formulas developed by the manufacturers and the generally applicable MTZ lists were not accepted. For this reason, the companies deviated.</w:t>
      </w:r>
    </w:p>
    <w:p>
      <w:r>
        <w:rPr>
          <w:b/>
        </w:rPr>
        <w:t>[Pages 4–5]</w:t>
      </w:r>
    </w:p>
    <w:p>
      <w:r>
        <w:t>4</w:t>
        <w:br/>
        <w:t>partially deviated from their MTZ calculation models. They used, for example, the MTZ calculation models of competitors or inflation surcharges and price adjustment clauses or lead price adjustment clauses developed by the customers themselves, which differed in terms of duration and composition.</w:t>
      </w:r>
    </w:p>
    <w:p>
      <w:r>
        <w:t>Traction Batteries</w:t>
        <w:br/>
        <w:t>In the period from September 11, 2012, to March 18, 2014, there was an agreement, among others, between the companies Exide, Hawker, and Hoppecke to pass on to customers the increased costs for lead and especially for lead alloys in the domestic sale of traction batteries through the MTZ that had been applied for years. This agreement also exclusively concerned the "whether" of passing on the costs and was achieved and renewed, on the one hand, at the two to three annual meetings of the working group on traction batteries. On the other hand, competitive relevant information regarding the intended introduction of a so-called "alloy surcharge" (also referred to as "fine lead premium," "premium," or "premium") for passing on costs for lead alloys to customers was exchanged during several bilateral discussions starting from November 5, 2012, and in a meeting in the underground garage at the headquarters of ZVEI in Frankfurt am Main following the working group meeting on December 13, 2012, between the competitors. No agreement was reached regarding the details of the calculation method and the amount of the MTZ or the alloy surcharge. Base, list, or total prices of the traction batteries were not the subject of the aforementioned agreement.</w:t>
      </w:r>
    </w:p>
    <w:p>
      <w:r>
        <w:t>In any case, Exide, Hawker, and Hoppecke asserted cost increases for lead alloys to their customers through an increase in the MTZ starting in early 2013. At the end of 2013, there were again bilateral discussions between Hawker, Exide, and Hoppecke, in which competitive relevant information regarding the intended increase of the so-called alloy surcharge effective January 1, 2014, was exchanged.</w:t>
      </w:r>
    </w:p>
    <w:p>
      <w:r>
        <w:t>However, the passing on of the previously increased costs for lead and lead alloys could not be enforced against all customers and, in some cases, only to a lesser extent. For instance, large customers did not accept the modified MTZ calculation formulas and the generally applicable MTZ lists provided by the manufacturers, which is why the companies partially deviated from their MTZ calculation models and used other MTZ calculation models. There was also resistance from original equipment manufacturers (OEMs) against the introduction of the "alloy surcharge" in early 2013 and its increase on January 1, 2014.</w:t>
      </w:r>
    </w:p>
    <w:p>
      <w:r>
        <w:t>5</w:t>
        <w:br/>
        <w:t>Bonus Applications and Settlements</w:t>
        <w:br/>
        <w:t>In determining the fines, it was taken into account that the company Hoppecke cooperated extensively with the Federal Cartel Office in clarifying the agreements and that the proceedings could be concluded through a consensual termination of the proceedings (so-called settlement). The fines against the company Hoppecke are final. The proceedings against the company Hawker regarding the violation in the distribution of traction batteries could be conclusively settled with a settlement. Regarding the violation in the distribution of stationary batteries, an initial fine notice was issued, against which the company Hawker and the responsible employee filed an objection. In the further course of the proceedings, Hawker and the responsible employee decided to cooperate comprehensively within the framework of the bonus regulation and also agreed to a settlement in March 2019 regarding the violation in the distribution of stationary batteries. Subsequently, the initially issued fine notice was withdrawn and replaced by a new notice, which has since become final.</w:t>
      </w:r>
    </w:p>
    <w:p>
      <w:r>
        <w:t>No fine was imposed on the company Exide under the bonus regulation of the Federal Cartel Office.</w:t>
      </w:r>
    </w:p>
    <w:p>
      <w:r>
        <w:t>Note</w:t>
        <w:br/>
        <w:t>Persons who have suffered damage as a result of the violation may demand compensation from the parties involved, provided that the legal requirements are met. To the extent that the decisions are already final, they have a binding effect regarding the determination of the violation according to § 33b GWB.</w:t>
      </w:r>
    </w:p>
    <w:p>
      <w:r>
        <w:t>The case report reflects the status as of the date of publication and does not take into account any subsequent events (court decisions, withdrawals of objections).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