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http://www.bundeskartellamt.de/SharedDocs/Entscheidung/EN/Fallberichte/Kartellverbot/2010/B11-15-09.pdf?__blob=publicationFile&amp;v=4</w:t>
      </w:r>
    </w:p>
    <w:p>
      <w:r>
        <w:t>Pages translated : 1</w:t>
      </w:r>
    </w:p>
    <w:p/>
    <w:p>
      <w:r>
        <w:rPr>
          <w:b/>
        </w:rPr>
        <w:t>[Pages 1–1]</w:t>
      </w:r>
    </w:p>
    <w:p>
      <w:r>
        <w:t xml:space="preserve">Case summary 26 August 2010  </w:t>
        <w:br/>
        <w:t xml:space="preserve">Manufacturers of cable bedding compounds fined for forming a cartel  </w:t>
        <w:br/>
        <w:t xml:space="preserve">Sector: Manufacture and sale of cable bedding compounds  </w:t>
        <w:br/>
        <w:t xml:space="preserve">Ref: B11 - 15/09  </w:t>
        <w:br/>
        <w:t>Date of Decision: 16 June 2010</w:t>
      </w:r>
    </w:p>
    <w:p>
      <w:r>
        <w:t>On 16 June 2010, the Bundeskartellamt imposed fines totaling €400,000 on a manufacturer of cable bedding compounds and two employees involved.</w:t>
      </w:r>
    </w:p>
    <w:p>
      <w:r>
        <w:t>According to the Bundeskartellamt’s findings, between 2005 and 2008, representatives of the companies Condor Compounds GmbH and Melos GmbH coordinated their price increases for so-called standard cable bedding compounds. Standard cable bedding compounds consist essentially of a rubber compound and are used in low-voltage installation cables to protect a cable loom from damage. Buyers of cable bedding compounds are cable manufacturers. A large number of them, however, also manufacture cable bedding compounds themselves to use them in their own production processes.</w:t>
      </w:r>
    </w:p>
    <w:p>
      <w:r>
        <w:t>The agreement began with a meeting in September 2004, at which representatives of the two above-mentioned companies decided to coordinate their price increases for standard cable bedding compounds with effect from the beginning of 2005. This was followed by regular talks between representatives of the companies named. The cartel agreement was ended in November 2008.</w:t>
      </w:r>
    </w:p>
    <w:p>
      <w:r>
        <w:t>The fine proceedings were initiated following a leniency application filed by Melos GmbH. In accordance with its leniency programme, the Bundeskartellamt waived the fine imposed on this company and its representatives. In calculating the fines against Condor Compounds GmbH and the employees involved, the Bundeskartellamt took account of the fact that only a comparatively low volume of turnover was affected by the price agreement.</w:t>
      </w:r>
    </w:p>
    <w:p>
      <w:r>
        <w:t>The fines are not yet final. However, both the company and the employees concerned have agreed to have the proceedings terminated by way of a settlement.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