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http://www.bundeskartellamt.de/SharedDocs/Entscheidung/DE/Fallberichte/Kartellverbot/2015/B11-17-06_Aktualisierter-FB.pdf;jsessionid=9BDF1EAAFFB95AE7CE86DC2D13F05B26.1_cid387?__blob=publicationFile&amp;v=2</w:t>
      </w:r>
    </w:p>
    <w:p>
      <w:r>
        <w:t>Pages translated : 4</w:t>
      </w:r>
    </w:p>
    <w:p/>
    <w:p>
      <w:r>
        <w:rPr>
          <w:b/>
        </w:rPr>
        <w:t>[Pages 1–3]</w:t>
      </w:r>
    </w:p>
    <w:p>
      <w:r>
        <w:t>1</w:t>
        <w:br/>
        <w:t>Case Report - UPDATE - May 26, 2015</w:t>
        <w:br/>
        <w:t>Fine Proceedings Against Manufacturers of Drugstore Products</w:t>
        <w:br/>
        <w:t>Industry: Manufacture of Drugstore Products</w:t>
        <w:br/>
        <w:t>File Number: B11-17/06</w:t>
        <w:br/>
        <w:t>Date: February 2008 - March 2013</w:t>
        <w:br/>
        <w:t>Decisions:</w:t>
        <w:br/>
        <w:t>The antitrust proceedings against manufacturers of drugstore products concluded in May 2015, after L’Oréal Deutschland GmbH and the Markenverband e.V. also withdrew their objections against the fine notices issued by the Federal Cartel Office.</w:t>
        <w:br/>
        <w:t>On March 18, 2013, the Federal Cartel Office concluded the fine proceedings against brand manufacturers of drugstore products due to their involvement in a competition-restricting exchange of information and imposed fines totaling approximately 63 million euros against 15 companies and their responsible sales employees. A fine was also imposed on the Markenverband e.V. and its responsible employee, as they supported the companies in their anti-competitive behavior (cf. Press Release of the Federal Cartel Office dated March 18, 2013).</w:t>
        <w:br/>
        <w:t>The responsible individuals of the involved companies in the drugstore product industry were all members of the working group "Personal Care, Laundry, and Cleaning Products" (KWR) of the Markenverband e.V. This working group was established within the Markenverband in the mid to late 1990s and was dissolved in November 2007.</w:t>
        <w:br/>
        <w:t>During the relevant period for the proceedings from March 2004 to the end of November 2006, the following companies were particularly members of the KWR working group:</w:t>
        <w:br/>
        <w:t>- Colgate-Palmolive GmbH</w:t>
        <w:br/>
        <w:t>- Beiersdorf AG</w:t>
        <w:br/>
        <w:t>- GlaxoSmithKline Consumer Healthcare GmbH &amp; Co. KG</w:t>
        <w:br/>
        <w:t>- Schwarzkopf Henkel GmbH</w:t>
        <w:br/>
        <w:t>- Henkel Wasch- und Reinigungsmittel GmbH</w:t>
      </w:r>
    </w:p>
    <w:p>
      <w:r>
        <w:t>2</w:t>
        <w:br/>
        <w:t>- Johnson &amp; Johnson GmbH</w:t>
        <w:br/>
        <w:t>- SC Johnson GmbH</w:t>
        <w:br/>
        <w:t>- Erdal-Rex GmbH</w:t>
        <w:br/>
        <w:t>- Reckitt Benckiser Deutschland GmbH</w:t>
        <w:br/>
        <w:t>- Coty Deutschland GmbH</w:t>
        <w:br/>
        <w:t>- Sara Lee Deutschland GmbH</w:t>
        <w:br/>
        <w:t>- Lever Fabergé Deutschland GmbH, since 2005: Unilever Deutschland GmbH</w:t>
        <w:br/>
        <w:t>- Procter &amp; Gamble GmbH</w:t>
        <w:br/>
        <w:t>- Gillette Gruppe Deutschland GmbH &amp; Co. oHG</w:t>
        <w:br/>
        <w:t>- delta pronatura Dr. Krauß &amp; Dr. Beckmann KG</w:t>
        <w:br/>
        <w:t>- L’Oréal Haarkosmetik und Parfümerien GmbH &amp; Co. KG</w:t>
      </w:r>
    </w:p>
    <w:p>
      <w:r>
        <w:t>The companies represented by the then KWR members are the leading providers of branded products in Germany in the areas of personal care, laundry, and cleaning products. The affected market segments are predominantly highly concentrated markets, where the three leading brand manufacturers each account for market shares of more than 50%. The aforementioned companies distribute their branded products nationwide to retailers, who then sell the products under their own name to end consumers.</w:t>
        <w:br/>
        <w:t>The KWR working group met several times a year, usually five to six times a year, with the management of the Markenverband always represented at the meetings of the working group. At the meetings of the KWR working group, company representatives regularly exchanged competitively sensitive information. There was a regular exchange regarding intended cross-customer gross price increases as well as the current status of negotiations with selected large retailers during annual discussions and special requests. There was also an exchange of non-publicly accessible sales figures, where identifiable sales structures and costs as well as the respective treatment and granting of payment terms to retailers were disclosed.</w:t>
        <w:br/>
        <w:t>The KWR member companies gained a competitive advantage through the exchange of information. The communications regarding price increase intentions and negotiations on special requests and annual discussions from other companies allowed them to adjust their respective pricing and negotiation strategies regarding annual discussions and special requests to the circumstances, thereby reducing uncertainties about market activities. Similarly, through the exchange of sales figures, they had access to sensitive information from other companies, which they also used for their negotiations and planning.</w:t>
      </w:r>
    </w:p>
    <w:p>
      <w:r>
        <w:t>3</w:t>
        <w:br/>
        <w:t>Bonus Applications and Settlements</w:t>
        <w:br/>
        <w:t>The proceedings were initiated in 2007 following a bonus application by Colgate-Palmolive initially against the companies Colgate-Palmolive, Henkel, Schwarzkopf &amp; Henkel, Sara Lee, and Unilever. In March 2008, the proceedings were then extended to the other KWR members. Initially, the accusation was limited to a regular exchange of information among the KWR members regarding negotiations with retailers, particularly concerning changes to the discounts agreed with the retailers. Based on this accusation, the proceedings could be legally concluded through amicable settlement with the following companies: Henkel, Schwarzkopf &amp; Henkel, Sara Lee, Unilever, Johnson &amp; Johnson, SC Johnson, Coty, delta pronatura.</w:t>
        <w:br/>
        <w:t>After further investigations, the accusation was expanded in June 2010. In addition to the exchange regarding negotiations with retailers, the companies were now also accused of the regular exchange of information regarding intended cross-customer gross price increases as well as significant key figures of sales activities. Furthermore, it was only at this point and based on this state of investigation that the proceedings against the Markenverband and its responsible employee were initiated.</w:t>
        <w:br/>
        <w:t>In the further course, the proceedings were amicably concluded with the companies Reckitt Benckiser and Beiersdorf based on this accusation. Thus, the proceedings could be legally concluded in a total of ten cases through amicable settlement. The company Colgate-Palmolive was completely exempted from the fine under the bonus regulation of the Federal Cartel Office. In the case of the companies Sara Lee and Reckitt Benckiser, it was also taken into account during the fine assessment that these companies had also submitted a bonus application and cooperated in clarifying the facts.</w:t>
        <w:br/>
        <w:t>In the proceedings against the companies GlaxoSmithKline, Procter &amp; Gamble, Gillette, Erdal Rex, and L’Oréal Deutschland GmbH as the legal successor of L’Oréal Haarkosmetik und Parfümerien GmbH &amp; Co. KG, however, no</w:t>
      </w:r>
    </w:p>
    <w:p>
      <w:r>
        <w:rPr>
          <w:b/>
        </w:rPr>
        <w:t>[Pages 4–4]</w:t>
      </w:r>
    </w:p>
    <w:p>
      <w:r>
        <w:t>4</w:t>
        <w:br/>
        <w:t>consensual termination of the proceedings could be achieved. On March 18, 2013, fines were imposed against these five companies as well as the brand association. Initially, appeals were also filed against these fines, which the Higher Regional Court of Düsseldorf would have had to decide on. However, the companies Procter &amp; Gamble, Gillette, and GlaxoSmithKline withdrew their appeals against the fines in May and July 2013, respectively, after the decision of the Federal Court of Justice regarding the cement cartel (Az. KRB 20/12) was issued. Erdal followed in June 2014. With the summons for the main hearing, the responsible cartel senate of the Higher Regional Court of Düsseldorf announced in April 2015 that, should the allegations of the Federal Cartel Office be confirmed in essence, a significant increase in the fines imposed on L’Oréal would have to be expected, depending on the amount of the relevant sales. Shortly before the start of the main hearing, L’Oréal, as well as the brand association and their responsible parties, also withdrew their appeals.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