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https://www.bundeskartellamt.de/SharedDocs/Entscheidung/DE/Fallberichte/Kartellverbot/2009/B11-18-08.pdf;jsessionid=B0B9EAFEACCC6724E219C02E4B16BF8F.1_cid381?__blob=publicationFile&amp;v=6</w:t>
      </w:r>
    </w:p>
    <w:p>
      <w:r>
        <w:t>Pages translated : 4</w:t>
      </w:r>
    </w:p>
    <w:p/>
    <w:p>
      <w:r>
        <w:rPr>
          <w:b/>
        </w:rPr>
        <w:t>[Pages 1–3]</w:t>
      </w:r>
    </w:p>
    <w:p>
      <w:r>
        <w:t xml:space="preserve">Case Report 14.01.2010  </w:t>
        <w:br/>
        <w:t xml:space="preserve">Fine Proceedings Against Coffee Roasters for Price Fixing  </w:t>
        <w:br/>
        <w:t xml:space="preserve">Industry: Manufacturing and Processing of Coffee  </w:t>
        <w:br/>
        <w:t xml:space="preserve">File Number: B11-18/08  </w:t>
        <w:br/>
        <w:t>Date of Decision: December 18, 2009</w:t>
      </w:r>
    </w:p>
    <w:p>
      <w:r>
        <w:t>The Federal Cartel Office imposed fines totaling approximately €159.5 million against three coffee roasters and six responsible employees for price fixing on December 18, 2009. The three companies involved are Tchibo GmbH, Hamburg (hereinafter: Tchibo), Melitta Kaffee GmbH, Bremen (hereinafter: Melitta), and Alois Dallmayr Kaffee oHG, Munich (hereinafter: Dallmayr).</w:t>
      </w:r>
    </w:p>
    <w:p>
      <w:r>
        <w:t>The Federal Cartel Office searched the three companies on July 3, 2008, and secured extensive evidence. The basis for the search was a leniency application from Kraft Foods Deutschland GmbH, Bremen (hereinafter: Kraft), which led to the fine being waived in accordance with No. 3 of the Federal Cartel Office's leniency program.</w:t>
      </w:r>
    </w:p>
    <w:p>
      <w:r>
        <w:t>According to the findings of the Federal Cartel Office, there existed a discussion group consisting of the managing directors and sales managers of the four coffee roasters since at least early 2000 until the search of the companies. The meetings of the discussion group primarily took place in airport hotels in Bremen and Hamburg. Additionally, there were occasional meetings in other German cities. The facilities in Bremen were usually rented by Kraft, less frequently by Melitta, while the facilities in Hamburg were usually rented by Tchibo, less frequently by Kraft. The facilities were labeled in the hotels under "Jacobs Kaffee" or "Kraft Foods," but in individual cases also under "Tchibo" or "DKV." Invitations to the meetings were generally made by phone. The meetings lasted between half an hour and three hours. There was no agenda and no participant lists. Overall, the Federal Cartel Office was able to verify 20 meetings between early 2000 and July 2008.</w:t>
      </w:r>
    </w:p>
    <w:p>
      <w:r>
        <w:t>The discussion group primarily aimed to maintain the price structure of the most important roasted coffee products at retail and promotional prices ("price architecture"). To achieve this, the four coffee roasters agreed on the amount, scope, timing of announcement, and implementation of intended price increases during the aforementioned period. The benchmark for the agreed price increases was always the desired increase in consumer and promotional prices. These agreements regularly affected filter coffee, and occasionally whole bean products/espresso as well as universal pads. The agreement always pertained to the main products of the four companies (each per 500g package), i.e., for Tchibo on Feine Milde and Gala, for Kraft on Krönung, Meisterröstung, and Onko, for Melitta on Auslese, and for Dallmayr on Prodomo. However, all participants were aware that, in addition to the explicitly agreed main products, the prices for the other products of the companies in the product ranges of filter coffee, whole bean products/espresso, and universal pads were also increased.</w:t>
      </w:r>
    </w:p>
    <w:p>
      <w:r>
        <w:t>The Federal Cartel Office was able to demonstrate a total of five agreed price increases for the period between early 2003 and July 2008. The two price increases announced by the four coffee roasters in December 2004 and April 2005 had the largest scope: The first resulted in an increase of consumer and promotional prices by an average of €0.50 to €0.70 per 500g package, while the second resulted in an increase of consumer and promotional prices by an average of €0.50 per 500g package. The price increases announced in April 2003, December 2007, and March/April 2008 had a somewhat smaller scope, which, according to the findings of the Federal Cartel Office, were also agreed upon. With the exception of the last price increase from March/April 2008, all price increases were implemented in the market.</w:t>
      </w:r>
    </w:p>
    <w:p>
      <w:r>
        <w:t>The underlying agreement of the discussion group of the four coffee roasters to maintain the price structure of the most important roasted coffee products at retail and promotional prices ("price architecture") (basic agreement) violates both European and German antitrust law, just as the agreements on the five price increases between 2003 and 2008 do. The basic agreement combines all implementation actions, including the agreements of the five price increases, into a single assessment unit, so that a violation over the entire period from early 2000 to July 2008 is assumed. This constitutes a clear so-called hardcore cartel violation.</w:t>
      </w:r>
    </w:p>
    <w:p>
      <w:r>
        <w:t>The Federal Cartel Office applied exclusively the law of the 7th amendment to the German Act against Restraints of Competition (GWB), which came into force in July 2005. According to this, fines of up to 10% of their worldwide group turnover can be imposed on companies. The fines were determined according to the Federal Cartel Office's guidelines on fines based on the sales revenues that the three fined companies achieved with the roasted coffee products affected by the agreements between August 2005 and June 2008 in Germany (so-called offense-related turnover). The three fined companies were granted a (not insignificant) reduction of their fines for their cooperation in clarifying the allegations in accordance with No. 5 of the leniency program.</w:t>
      </w:r>
    </w:p>
    <w:p>
      <w:r>
        <w:t>Tchibo and Melitta, as well as five affected parties, have filed objections against the fine notices. In the course of this procedure, the Federal Cartel Office has further developed its key points for amicable settlements (so-called settlements). A settlement generally requires a confession from the affected parties/third parties. Substantively, the confession must include a description of the procedural act as well as information about the circumstances that are relevant for the determination of the fine. This includes, for example, the economic circumstances, including payment capacity, and for companies, information on the offense-related turnover. Typically, a summary of the investigation results is provided to the affected parties/third parties in written form or explained orally for this purpose. Formally, the confession requires the submission of a so-called settlement declaration, in which the affected party/third party declares that they view the alleged facts as charged from their perspective.</w:t>
      </w:r>
    </w:p>
    <w:p>
      <w:r>
        <w:rPr>
          <w:b/>
        </w:rPr>
        <w:t>[Pages 4–4]</w:t>
      </w:r>
    </w:p>
    <w:p>
      <w:r>
        <w:t>acknowledges the facts correctly and accepts the fine up to the amount proposed. In horizontal cartel cases, the fine can be reduced by a maximum of 10% in the event of a consensual termination of proceedings. A waiver of legal remedies is not part of a settlement declaration.</w:t>
      </w:r>
    </w:p>
    <w:p>
      <w:r>
        <w:t>If the affected parties/third parties show a fundamental willingness to reach a consensual termination of proceedings, the decision-making department explains the alleged facts (see above), proposes an amount as the upper limit of the fine, and sets a deadline for the affected parties/third parties to accept the settlement proposal. Access to the most important evidence will be granted, provided that this does not jeopardize other investigations in the proceedings. Other components of the settlement typically include the waiver of full access to the files and the conclusion of the proceedings through a so-called short notice, which contains only the information absolutely necessary under § 66 OWiG. The hearing of the affected parties/third parties usually takes place by sending the draft of the short notice. The details of the settlement proposal as well as its acceptance/rejection by the affected parties/third parties will be recorded in the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