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https://www.bundeskartellamt.de/SharedDocs/Entscheidung/EN/Fallberichte/Kartellverbot/2011/B11-26-05.pdf;jsessionid=DF2508EF75D120A404863180B3667795.2_cid381?__blob=publicationFile&amp;v=2</w:t>
      </w:r>
    </w:p>
    <w:p>
      <w:r>
        <w:t>Pages translated : 5</w:t>
      </w:r>
    </w:p>
    <w:p/>
    <w:p>
      <w:r>
        <w:rPr>
          <w:b/>
        </w:rPr>
        <w:t>[Pages 1–3]</w:t>
      </w:r>
    </w:p>
    <w:p>
      <w:r>
        <w:t xml:space="preserve">Case study – UPDATE – 25 November 2011  </w:t>
        <w:br/>
        <w:t xml:space="preserve">Fine proceedings against manufacturers of utility steam generators  </w:t>
        <w:br/>
        <w:t xml:space="preserve">Sector: Manufacture of steam boilers  </w:t>
        <w:br/>
        <w:t xml:space="preserve">Ref.: B11 - 26/05  </w:t>
        <w:br/>
        <w:t>Date of decision: 20 October 2011</w:t>
      </w:r>
    </w:p>
    <w:p>
      <w:r>
        <w:t>On 20 October 2011, the Bundeskartellamt issued an order imposing a fine on ALSTOM Power Systems GmbH, Mannheim for entering into agreements on customer allocation, quotas and prices. The fine imposed on ALSTOM Power Systems GmbH amounted to 42 million Euros. This decision by the Bundeskartellamt suspends an earlier decision in this matter.</w:t>
      </w:r>
    </w:p>
    <w:p>
      <w:r>
        <w:t>According to the Bundeskartellamt’s findings, between 1990 and 2003, ALSTOM Power Systems GmbH, under its former company name EVT Energie- und Verfahrenstechnik GmbH (hereinafter: EVT), Stuttgart, together with the other utility steam generator manufacturers Babcock, Steinmüller and Lentjes, was involved in a cartel agreement which eliminated competition in the sales of utility steam generators for lignite-fired power stations. Utility steam generators are very large steam boilers which are used to generate energy in power stations. Contracts for steam boilers are regularly put out to tender Europe-wide by power station operators and are each worth several hundred million Euros. The cartel agreements applied to the type of utility steam generators for use in lignite-fired power stations. In Germany, such power stations are chiefly found in the brown coalfields in North-Rhine Westphalia (Lower Rhine Basin), Saxony-Anhalt (central German brown coalfields) and in Saxony and Brandenburg (Lausitz coalfields).</w:t>
      </w:r>
    </w:p>
    <w:p>
      <w:r>
        <w:t>Only few contracts for utility steam generators were awarded in the eighties. In light of the growing demand for environmental sustainability and energy efficiency in the power station sector, the four German boiler manufacturers Babcock, EVT, Steinmüller and Lentjes developed special technical competence during this period to enable them to offer lignite-fired utility steam generators of a new performance class in future tenders. In this respect, Lentjes was in a weaker position than the other manufacturers and was only active as an independent supplier until its utility steam generator producing activities were integrated with those of Babcock in 1992.</w:t>
      </w:r>
    </w:p>
    <w:p>
      <w:r>
        <w:t>German reunification led to a sudden large surge in demand from 1990 onwards. With the restoration of the East German lignite-fired power stations Schkopau, Schwarze Pumpe, Boxberg and Lippendorf, the four German boiler manufacturers expected to receive a very substantial volume of orders which could have changed the existing market situation. In 1990, the CEOs and boards of management of Babcock, EVT and Steinmüller decided that the manufacturers should not compete with one another in the coming invitations to tender.</w:t>
      </w:r>
    </w:p>
    <w:p>
      <w:r>
        <w:t>According to the basic agreement, each of the three suppliers Babcock, EVT and Steinmüller was to receive the award of at least one major order. This applied in particular to the three orders for steam generators for Schwarze Pumpe, Boxberg and Lippendorf, which were designed as double-block plants and from which the biggest contracts could thus be expected. The award for the individual offer of a manufacturer meant in practice that this company spearheaded a consortium that was formed to execute the contract. To become a consortium leader was particularly important for the manufacturers because it was seen as a sign of technical competence and was important as a reference for future invitations for bids. Moreover, according to the basic agreement, the orders were to be divided up within each consortium in such a way that the manufacturers’ capacities were optimally utilised throughout all the projects. The orders were to be split based on overall quotas according to the previous market shares of the manufacturers. Finally, the prices at which the contracts were awarded were to be set at a level jointly agreed by the manufacturers. In the case of the double-block plants, the price target was set at above DM 1 billion per order.</w:t>
      </w:r>
    </w:p>
    <w:p>
      <w:r>
        <w:t>The CEOs of the companies Babcock, EVT and Steinmüller implemented this basic agreement – up to 1992 together with representatives of Lentjes – by entering into subsequent agreements on the details of their individual bids in tenders invited between 1991 and 1994 for the four East German projects at Schkopau, Schwarze Pumpe, Boxberg and Lippendorf and for the “BoA 1” project in North-Rhine/Westphalia. The individual agreements included in addition to the target price the prices of single components, the discounts in the respective award negotiations and the commercial terms and conditions. In this way, the companies ensured that the chosen leader of the consortium won the contract at a price which definitely lay above the minimum price set by the cartel.</w:t>
      </w:r>
    </w:p>
    <w:p>
      <w:r>
        <w:t>Furthermore, the companies split the order values in the consortia, which were differently composed for each order, in such a way that any manufacturer’s share of the sum of the order values based on all the projects corresponded to the market share quota allocated to it within the cartel. After the first agreement on the allocation of the Schkopau project had been undermined by one of the companies involved in the cartel, the cartel members then applied a system of additional internal "pre-consortium contracts" to ensure discipline within the cartel. In the case of the Schwarze Pumpe, Boxberg, Lippendorf and BoA 1 projects, not only the price agreements, but also project allocation and in general the quota agreement functioned as agreed. The agreements were implemented up to 2003, when the final invoice was submitted for the last of the five projects. In the meantime, the utility steam generator activities of Lentjes (1992) and Steinmüller (1999/2000) had been integrated into the Babcock group. In 2002, insolvency proceedings were initiated in respect of the assets of the Babcock companies. Late in 2005, the Bundeskartellamt learnt of the cartel from an anonymous informer and in February 2006 conducted a search of the companies.</w:t>
      </w:r>
    </w:p>
    <w:p>
      <w:r>
        <w:t>The basic agreement and the ensuing bid rigging concerning the individual projects infringe German competition law. According to the Bundeskartellamt’s findings, the agreements were not capable of appreciably affecting trade between the Member States of the European Union due to the specificities of the sale of utility steam generators for lignite-fired power stations during the relevant period of time so that European competition law was not applicable. In view of the relevance of bid rigging under criminal law, Berlin’s Public Prosecution Office, in addition to the Bundeskartellamt’s administrative proceedings, conducted parallel criminal proceedings against several former CEOs of the companies involved in the cartel, which were terminated against the payment of fines.</w:t>
      </w:r>
    </w:p>
    <w:p>
      <w:r>
        <w:t>Under administrative offence law, the basic agreement and all implementation activities, including bid rigging in individual projects, are regarded as one single infringement to be assessed as a comprehensive unit. The Act against Restraints of Competition (German Competition Act – GWB) in the version of 26 August 1998 was applicable to the single infringement, which took place from 1990 to 2003. Accordingly, the fine to be imposed can amount to three times the additional proceeds obtained as a result of the infringement.</w:t>
      </w:r>
    </w:p>
    <w:p>
      <w:r>
        <w:rPr>
          <w:b/>
        </w:rPr>
        <w:t>[Pages 4–5]</w:t>
      </w:r>
    </w:p>
    <w:p>
      <w:r>
        <w:t>On 6 August 2010, the Bundeskartellamt issued a fine notice against ALSTOM Power Systems GmbH and two of its former CEOs on account of the infringement of competition law, imposing a fine of 91 million Euros on the company. The calculation of the fine was based on an estimate of the additional proceeds. As no suitable products, regions, or time frames could be identified for an assessment under the comparative market concept, the “overall economic analysis” method was applied for the first time. In its application of this method of estimation, the Bundeskartellamt followed guidance by the standards provided by the Federal Court of Justice in its "Paper Wholesale" decision of 19 June 2007. Accordingly, the additional proceeds are estimated on the basis of EVT’s prime costs, under consideration of the fact that the order volumes originally awarded and calculated were changed by subsequent orders during the course of processing. Secondly, the analysis is based on the estimated return on sales which could be expected under the market conditions prevailing at the time. The average return on sales from several groups of orders for boilers, the structural market conditions for the sale of utility steam generators as well as the special market situation in the early 1990s were all taken into account in the analysis. The Bundeskartellamt backed its calculations of cost prices as well as the estimated return on sales under competitive conditions with a number of comparative calculations and calculation checks. Any remaining uncertainty in estimation was addressed by the use of a safety margin. ALSTOM Power Systems GmbH and its two former CEOs appealed against the fine notice of 6 August 2010. In the subsequent intermediate proceedings, the Bundeskartellamt first examined the objections raised by the company against the estimate of the additional proceeds, which claimed that not all EVT’s relevant prime costs had been included and that some of the documents used were inappropriate as the basis of an estimate. The Bundeskartellamt accepted this objection in part and revised its estimate of the additional proceeds accordingly. Further, in the intermediary proceedings the Bundeskartellamt acknowledged that ALSTOM Power Systems GmbH had taken measures to compensate the damages to companies adversely affected by the cartel. ALSTOM committed itself to making compensation payments to nearly all the injured parties that had made compensation claims, the total amount of which is significantly higher than the additional proceeds estimated by the Bundeskartellamt. The Bundeskartellamt also evaluated in favour of the company the special situation that a claim was only made against ALSTOM Power Systems GmbH as joint and several debtor and that the other companies involved in the cartel had become part of the Babcock group, which had become insolvent. After the fine notice of 6 August 2010 against the two former CEOs had become final because they had withdrawn their claims in intermediate proceedings, and after ALSTOM Power Systems GmbH had declared its willingness to reach a consensual solution to end the proceedings, the Bundeskartellamt withdrew the fine notice of 6 August 2010 and on 20 October 2011 issued an order imposing a fine amounting to 42 million Euro on ALSTOM Power Systems GmbH. This decision has become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