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https://www.bundeskartellamt.de/SharedDocs/Entscheidung/DE/Fallberichte/Kartellverbot/2022/B11_22_17.pdf;jsessionid=17A4A87158B332119FC22920F30975EB.1_cid371?__blob=publicationFile&amp;v=7</w:t>
      </w:r>
    </w:p>
    <w:p>
      <w:r>
        <w:t>Pages translated : 5</w:t>
      </w:r>
    </w:p>
    <w:p/>
    <w:p>
      <w:r>
        <w:rPr>
          <w:b/>
        </w:rPr>
        <w:t>[Pages 1–3]</w:t>
      </w:r>
    </w:p>
    <w:p>
      <w:r>
        <w:t xml:space="preserve">Case Report February 10, 2022  </w:t>
        <w:br/>
        <w:t xml:space="preserve">Fine Proceedings Against Manufacturers of Multi-Profile Bridge Expansion Joints for Road Bridges  </w:t>
        <w:br/>
        <w:t xml:space="preserve">Industry: Manufacturing and Distribution of Multi-Profile Transition Structures for Road Bridges in Germany  </w:t>
        <w:br/>
        <w:t xml:space="preserve">File Number: B11-22/17  </w:t>
        <w:br/>
        <w:t>Date of Decisions: December 28, 2021, and January 21, 2022</w:t>
      </w:r>
    </w:p>
    <w:p>
      <w:r>
        <w:t>The Federal Cartel Office has concluded fine proceedings against two manufacturers of multi-profile transition structures for road bridges in Germany due to the practice of a quota cartel and imposed fines totaling approximately 7.3 million euros against the companies. The affected companies are Maurer SE, Munich, and Mageba GmbH, Göttingen. The Braunschweig Public Prosecutor's Office is conducting investigations against the responsible individuals acting for the companies on suspicion of bid rigging. In January 2019, the Federal Cartel Office and the Braunschweig Public Prosecutor's Office jointly searched companies and private residences following tips from the market.</w:t>
      </w:r>
    </w:p>
    <w:p>
      <w:r>
        <w:t>Responsible individuals from Maurer SE and Mageba GmbH (formerly operating under RW Solinger Hütte GmbH until September 15, 2014) entered into a quota agreement regarding the distribution of multi-profile transition structures for road bridges in Germany from October 19, 2004, to January 16, 2019. The implementation of the quota agreement was facilitated by an additional price agreement. A third company, the former Mageba GmbH, Uslar, was involved in the agreements from October 19, 2004, until its merger on September 15, 2014, with Mageba GmbH (then operating under RW Sollinger Hütte).</w:t>
      </w:r>
    </w:p>
    <w:p>
      <w:r>
        <w:t>Transition structures serve to compensate for the length changes of bridges due to temperature fluctuations by expanding and contracting. Depending on the application area, both multi-profile and single-profile transition structures are in demand. The demanders of transition structures for road bridges are the owners of the bridges, typically the municipality, the federal state, or the federal government. Generally, construction companies or consortia of several construction companies apply as general contractors for tenders for road bridges issued by public contracting authorities, which in turn commission manufacturers of transition structures for the supply and installation of the transition structures. The construction companies applying for tenders from public contracting authorities generally request quotes from all manufacturers of transition structures and consider these in their offers to the public contracting authorities. Once the public contracting authority has awarded the contract to a construction company, the commissioned construction company enters into renewed (discount) negotiations with the manufacturers of transition structures and then awards the contract to a manufacturer. To a limited extent, there are also direct applications from manufacturers of transition structures for – typically limited, and less frequently public – tenders from public contracting authorities.</w:t>
      </w:r>
    </w:p>
    <w:p>
      <w:r>
        <w:t>The agreements affected multi-profile transition structures with and without noise reduction. Single-profile transition structures were included in the agreements if the contract for the bridge construction project involved both multi-profile transition structures and single-profile transition structures. The agreements covered both contracts for new bridge constructions and for bridge renovations, insofar as the latter were associated with the new installation of a transition structure. Both contracts requested by construction companies as general contractors and contracts from public contracting authorities were affected by the agreements, provided that the companies had applied directly for these contracts.</w:t>
      </w:r>
    </w:p>
    <w:p>
      <w:r>
        <w:t>On October 19, 2004, responsible individuals from Maurer SE, Mageba GmbH (then operating under RW Sollinger Hütte GmbH), and the former Mageba GmbH, Uslar, met and agreed that the existing market shares at that time, the status quo of 2004, should be maintained and should henceforth be allocated to the companies as quotas. At least from the year 2009 to 2014, the quota for Maurer SE was 63%, for Mageba GmbH (then operating under RW Solinger Hütte GmbH) 19%, and for the former Mageba GmbH, Uslar, 18%. Following the merger of Mageba GmbH (then operating under RW Sollinger Hütte GmbH) and the former Mageba GmbH, Uslar, the agreed shares of the two companies merged, so that from that point until January 16, 2019, the shares were 63% for Maurer SE and 37% for Mageba GmbH.</w:t>
      </w:r>
    </w:p>
    <w:p>
      <w:r>
        <w:t>The crediting of won contracts towards the quota was carried out, at least from the year 2007, based on an agreed formula on the basis of so-called profile meters, i.e., the number of profiles as well as the total length of the transition construction. The responsible individuals of the companies also agreed in principle at the meeting on October 19, 2004, that a price formula should be used for the calculation of prices for multi-profile transition constructions. The price formula took into account the number of profiles, a base amount for the profile, and a surcharge for the relatively higher costs incurred in the production of a transition construction with a smaller number of profiles (number of profiles x base amount + surcharge). Later, the formula was further differentiated and also considered the type of transition structure through a factor (factor 1.0 without noise reduction, factor 1.7 with noise reduction, factor 1.9 with noise reduction and large joint gap) as well as the length share of the roadway and sidewalk. The formula was as follows: (base amount x number of profiles + surcharge) x factor x length roadway + (base amount x number of profiles + surcharge) x length sidewalk. Divided by the total length of the transition construction, the average price per profile meter was obtained. In the period from at least 2009 to 2011, the base amount was 850.00 euros, in the period from 2011 to 2016 it was 900.00 euros, in the period from 2016 to 2017 it was 950.00 euros, and from 2018 it was 1,025.00 euros. The surcharge was 350.00 euros from at least 2009 to 2017 and 375.00 euros from 2018.</w:t>
      </w:r>
    </w:p>
    <w:p>
      <w:r>
        <w:t>The implementation of the agreements took place between October 19, 2004, and January 16, 2019, continuously through various (sales) employees of the companies in meetings and phone calls. These individuals met at least twice a year to monitor compliance with the quota agreement. At the beginning of each year, a so-called "year-end meeting" took place, during which the (sales) employees reviewed compliance with the agreed quotas for the entire previous year. Additionally, at least one further meeting took place during the year to monitor quota developments and to counteract emerging quota deviations. For this purpose, the (sales) employees also conducted phone calls with each other during the year.</w:t>
      </w:r>
    </w:p>
    <w:p>
      <w:r>
        <w:t>In the event of significant quota deviations, the (sales) employees made a quota adjustment at the "year-end meetings." To this end, they regularly identified specific, not yet awarded contracts that should be allocated to the company that had fallen below the quota as compensation projects. If no compensation projects were identified, they adjusted the quota deviation by deducting the established compensation volume from the calculation of the actual quota of the company entitled to compensation in the following year.</w:t>
      </w:r>
    </w:p>
    <w:p>
      <w:r>
        <w:rPr>
          <w:b/>
        </w:rPr>
        <w:t>[Pages 4–5]</w:t>
      </w:r>
    </w:p>
    <w:p>
      <w:r>
        <w:t>In addition to the allocation of specific compensation projects in the event of significant quota deviations, the (sales) employees distributed the orders not yet awarded to their companies among themselves to ensure future compliance with the quota. This occurred, in any case, with significant or company-interesting orders. The (sales) employees regularly calculated their offer prices for the multi-profile transition structures using the price formula. They added a surcharge of 2% to 8% to this price by agreement, which served to allow them to grant a discount in the negotiations with the construction company, ensuring that the transition structures were not offered below the formula price.</w:t>
      </w:r>
    </w:p>
    <w:p>
      <w:r>
        <w:t>In order for the compensation projects or the orders distributed outside the quota compensation to fall to the company that was to receive the orders, the (sales) employees of the companies that were not to receive the order either submitted offers that were above the total offer price calculated using the price formula of the company that was to receive the order, or the (sales) employees disclosed their submitted offer prices to the co-conspirators—if the agreement on the allocation of the compensation projects or the distribution of the orders occurred between the submission of the offer to the construction company and the commissioning of a company by the awarded construction company—so that they knew how to behave in the discount negotiations with the construction company. They also sometimes agreed on specific price discounts that were granted to the construction company in the discount negotiations.</w:t>
      </w:r>
    </w:p>
    <w:p>
      <w:r>
        <w:t>In determining the fines, it was taken into account that the companies Maurer SE and Mageba GmbH cooperated extensively with the Federal Cartel Office in clarifying the agreements and that the proceedings could be concluded by way of amicable settlement (so-called settlement). The fine notices are legally binding.</w:t>
      </w:r>
    </w:p>
    <w:p>
      <w:r>
        <w:t>Note: Persons who have suffered damage as a result of the violation may demand compensation from the parties involved, provided that the legal requirements are met. As far as the decisions are already legally binding, they have a binding effect regarding the determination of the violation against the respective addressee of the notice in accordance with § 33b GWB.</w:t>
      </w:r>
    </w:p>
    <w:p>
      <w:r>
        <w:t>Anyone who can credibly assert a claim for damages under § 33a GWB has, under further conditions, a right to the disclosure of evidence and the provision of information under § 33g GWB. The case report reflects the status as of the date of publication and does not take into account any subsequent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