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https://www.bundeskartellamt.de/SharedDocs/Entscheidung/DE/Fallberichte/Kartellverbot/2011/B12-11-09.pdf?__blob=publicationFile&amp;v=1</w:t>
      </w:r>
    </w:p>
    <w:p>
      <w:r>
        <w:t>Pages translated : 3</w:t>
      </w:r>
    </w:p>
    <w:p/>
    <w:p>
      <w:r>
        <w:rPr>
          <w:b/>
        </w:rPr>
        <w:t>[Pages 1–3]</w:t>
      </w:r>
    </w:p>
    <w:p>
      <w:r>
        <w:t>1</w:t>
        <w:br/>
        <w:t>Case Report February 18, 2011</w:t>
        <w:br/>
        <w:t>Antitrust Proceedings Against Manufacturers of Firefighting Vehicles</w:t>
        <w:br/>
        <w:t>Industry: Firefighting Vehicles</w:t>
        <w:br/>
        <w:t>File Number: B12 - 11/09</w:t>
        <w:br/>
        <w:t>Date of Decision: February 10, 2011</w:t>
        <w:br/>
        <w:t>The Federal Cartel Office imposed initial fines totaling 20.5 million euros on February 10, 2011, against manufacturers of firefighting vehicles. Fines were issued to Albert Ziegler GmbH &amp; Co. KG, Giengen, Schlingmann GmbH &amp; Co. KG, Dissen, as well as to the Rosenbauer Group in Luckenwalde and Leonding/Austria. The Federal Cartel Office also imposed a fine on a Swiss auditor for his involvement in the cartel. Proceedings against a fourth company, which was also involved in the cartel, are ongoing. The four companies involved together cover more than 90% of the market for firefighting vehicles.</w:t>
      </w:r>
    </w:p>
    <w:p>
      <w:r>
        <w:t>In the mid-1990s, the market for firefighting vehicles was declining after economically "booming" years. Due to the difficult economic situation, the company leaders of the four corporate groups agreed that the market needed to be stabilized through appropriate measures. The distrust among the competitors was significant and was to be eliminated through "confidence-building measures."</w:t>
      </w:r>
    </w:p>
    <w:p>
      <w:r>
        <w:t>The cartel now penalized was divided into two levels: The level of company leaders, namely the managing directors and chairpersons, met regularly at Zurich Airport since 2001. From 2001 to 2009, the Federal Cartel Office was able to document a total of 19 such meetings. The meetings were conducted without written invitations, agendas, or participant lists. The date for the next meeting was usually set at the end of each session.</w:t>
      </w:r>
    </w:p>
    <w:p>
      <w:r>
        <w:t>2</w:t>
        <w:br/>
        <w:t>The meeting point in Zurich was chosen to obscure the arrangements and to evade the reach of German and other European cartel authorities.</w:t>
      </w:r>
    </w:p>
    <w:p>
      <w:r>
        <w:t>At the meetings, the company representatives discussed a list with extensive market statistics. In the year 2000, they decided to have such market statistics compiled regarding the order intakes of their companies. For this purpose, they commissioned a Swiss auditor, to whom they regularly sent their order intakes via email or CD-ROM. From the company figures, the auditor aggregated a comprehensive list with numbers broken down by vehicle types. In addition to the actual figures, the lists also displayed the so-called "target quotas," which the companies also set in the year 2000 for the first time. These target quotas, with which the companies assigned each cartel member a fixed quota of the total market, ranged between 13.75% and 38.75% and were adjusted once during the cartel period.</w:t>
      </w:r>
    </w:p>
    <w:p>
      <w:r>
        <w:t>At the Zurich meetings, the current list was distributed by the Swiss auditor. During the subsequent discussion, the company leaders checked whether the actual order intake figures matched the established target quotas. To the extent that the actual figures deviated from the target quotas, the companies took internal measures to bring their market shares back to their respective target quotas. The market share guaranteed by the cartel significantly restricted competition, especially since the cartel members also coordinated increases in their offer prices at the Zurich meetings.</w:t>
      </w:r>
    </w:p>
    <w:p>
      <w:r>
        <w:t>In addition to the "Zurich Round," there were regular meetings at the level of the sales managers of the companies. At these meetings, the sales managers coordinated individual municipal tenders for firefighting vehicles. Until the year 2004, "project lists" were discussed at the meetings. The lists included a multitude, sometimes even more than 50 cases of need, which were divided into the columns municipality, vehicle type, location, and due date of the tender. They roughly covered the expected awards in the coming months. Based on the lists, it was discussed which company should be awarded the tenders. In case of corresponding agreement, the projects on the lists were assigned to the individual companies. Through a corresponding discount policy in the preparation of offers, the companies ensured that the company to which the project was assigned actually received the contract. Even after 2004, there were further meetings where the sales managers exchanged information about individual projects.</w:t>
      </w:r>
    </w:p>
    <w:p>
      <w:r>
        <w:t>The proceedings against the affected sales managers, as well as against the managing directors and chairpersons, were referred to the competent public prosecutors for criminal examination, particularly with regard to § 298 StGB (submission fraud).</w:t>
      </w:r>
    </w:p>
    <w:p>
      <w:r>
        <w:t>The fines are not yet legally binding. The three companies now fined and the auditor had submitted applications for leniency to the Federal Cartel Office, so that reductions in their fines were granted for their cooperation in clarifying the allegations. A settlement regarding an amicable termination of the proceedings ("settlement") was also reached with the companies. The proceedings against a fourth company are expected to be concluded in the summer of this year.</w:t>
      </w:r>
    </w:p>
    <w:p>
      <w:r>
        <w:t>In addition to the investigations against firefighting vehicle manufacturers, the Federal Cartel Office is also conducting proceedings against manufacturers of firefighting vehicles equipped with turntable ladders. This proceeding will also be concluded shortly.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