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https://www.bundeskartellamt.de/SharedDocs/Entscheidung/EN/Fallberichte/Kartellverbot/2011/B12-11-11.pdf;jsessionid=3FFBFF5B3BFA1836943524863161CCBF.1_cid387?__blob=publicationFile&amp;v=2</w:t>
      </w:r>
    </w:p>
    <w:p>
      <w:r>
        <w:t>Pages translated : 4</w:t>
      </w:r>
    </w:p>
    <w:p/>
    <w:p>
      <w:r>
        <w:rPr>
          <w:b/>
        </w:rPr>
        <w:t>[Pages 1–3]</w:t>
      </w:r>
    </w:p>
    <w:p>
      <w:r>
        <w:t xml:space="preserve">Case Summary 14 December 2012  </w:t>
        <w:br/>
        <w:t xml:space="preserve">First fines imposed in rail case  </w:t>
        <w:br/>
        <w:t xml:space="preserve">Sector: Rail manufacturers and suppliers  </w:t>
        <w:br/>
        <w:t xml:space="preserve">Ref: B12 - 11/11  </w:t>
        <w:br/>
        <w:t>Conclusion of proceedings July 2012</w:t>
      </w:r>
    </w:p>
    <w:p>
      <w:r>
        <w:t>In early July 2012, the Bundeskartellamt imposed fines totaling 124.5 million euros on four rail manufacturers and suppliers for concluding anticompetitive agreements to the detriment of Deutsche Bahn AG. Fining decisions were served on ThyssenKrupp GfT Gleistechnik GmbH, Essen (103 million euros), Stahlberg Roensch GmbH, Seevetal, which since 2010 belongs to the Vossloh group (13 million euros), TSTG Schienen Technik GmbH &amp; Co. KG, Duisburg (4.5 million euros), and voestalpine BWG GmbH &amp; Co. KG, Butzbach, both subsidiaries of the voestalpine group (4 million euros).</w:t>
      </w:r>
    </w:p>
    <w:p>
      <w:r>
        <w:t>All the companies mentioned above cooperated with the Bundeskartellamt in the course of the proceedings within the scope of its leniency programme. In calculating the fines, which are based on the turnover that the companies achieved with Deutsche Bahn from the cartelized business and the gravity of the infringement, the Bundeskartellamt also took into account the cooperation provided by the companies, the duration of the cartel involvement, and the willingness of the companies to terminate the proceedings by settlement. Investigations into further companies are still ongoing. The proceedings were triggered by an application for leniency by the Austrian company voestalpine AG.</w:t>
      </w:r>
    </w:p>
    <w:p>
      <w:r>
        <w:t>The anticompetitive agreements applied to three different product markets: Normal rails, head-hardened rails, and switch blades.</w:t>
      </w:r>
    </w:p>
    <w:p>
      <w:r>
        <w:t>The quota and price agreements in respect of normal rails were practiced by ThyssenKrupp GfT Gleistechnik GmbH, Stahlberg Roensch GmbH, and voestalpine Schiene GmbH, Leoben, Austria, as well as TSTG Schienen Technik between 2001 and 2008, in some cases even up to 2011. Proceedings continue against a further company involved in the agreements because although the company cooperated with the Bundeskartellamt, no settlement was concluded to terminate the proceedings. Seven companies initially participated in the cartel. In the case of two of the companies, the agreements were not prosecuted because they were time-barred. A further company is now insolvent.</w:t>
      </w:r>
    </w:p>
    <w:p>
      <w:r>
        <w:t>For many years, the rail suppliers have guaranteed each other relatively constant shares of Deutsche Bahn's contract volume. The cartel members monitored adherence to quotas, assigned each other projects, and agreed on cover prices to steer the contract award process. Deviations between actual and target quotas were balanced out by reciprocal deliveries between the cartel members; there were complaints even if the deviation from the target quota was less than 1%.</w:t>
      </w:r>
    </w:p>
    <w:p>
      <w:r>
        <w:t>The implementation of the agreement was contingent upon Deutsche Bahn's tendering process, which changed over time during the period of the infringement. From the late 90s up to 2006, invitations for tender (general/framework agreements) were made on a pre-qualification basis. Deutsche Bahn initially invited bids for single projects, which could amount to 1,500 per year, by fax or e-mail, later on an internet-based portal. The pre-qualified suppliers each had to submit a price for the requested project (viability for each individual invitation for tender, so-called "first come first served" procedure). Coordination between the competitors on the individual contracts took place, for example, via daily telephone calls. The purpose of these calls was to clarify who should win the award in a specific case in consideration of the quota applicable to each competitor and the agreed minimum price level.</w:t>
      </w:r>
    </w:p>
    <w:p>
      <w:r>
        <w:t>Deutsche Bahn changed its tendering practice in the periods October 2006 to 2007 and 2008 to 2011. The companies accordingly adapted their price and quota agreement to the modified tender process.</w:t>
      </w:r>
    </w:p>
    <w:p>
      <w:r>
        <w:t>A so-called clearing centre was responsible for the implementation and monitoring of the quota and price agreement. This would coordinate the tenders and instruct the competitors whether and under what conditions they should participate in specific invitations for tender. The basis of the coordination was an Excel program which compared reached quotas with agreed target quotas and showed excess and shortfall quantities.</w:t>
      </w:r>
    </w:p>
    <w:p>
      <w:r>
        <w:t>During this period, various means of communication were used by the cartel. At first, the cartel members used prepaid telephone cards, which were replaced in 2005 by emails. There were also a number of personal meetings, which took place at two different levels. Representatives of the companies met both at senior management level and operative or working level (authorized signatories). The meetings at senior management level were aimed at creating transparency and a broad consensus on the allocation of quotas and establishing a minimum price level. However, they were also used to clarify basic questions resulting, for example, from significant changes to the tendering system. At the working level, the instructions from the senior management were clearly defined and implemented. Final price adjustments were made and adherence to quotas was monitored.</w:t>
      </w:r>
    </w:p>
    <w:p>
      <w:r>
        <w:t>In the run-up to the multilateral meetings between competitors at senior management level, a bilateral preparatory meeting took place between representatives of TSTG Schienen Technik GmbH and ThyssenKrupp GfT Gleistechnik GmbH on the basis of a bilateral anti-competitive sales agreement. The aim of this preparatory meeting was to agree on a strategy for the multilateral meetings.</w:t>
      </w:r>
    </w:p>
    <w:p>
      <w:r>
        <w:t>The multilateral price and quota cartel collapsed in 2008 after Arcelor/Mittal's market entry. The implementation of the anti-competitive sales agreement finally ended in May 2011 with the Bundeskartellamt's search operation.</w:t>
      </w:r>
    </w:p>
    <w:p>
      <w:r>
        <w:t>In connection with an invitation for tender by Deutsche Bahn for head-hardened rails, agreements on prices were also reached in 2010/2011 between voestalpine Schienen GmbH and Stahlberg Roensch GmbH. Proceedings regarding these agreements were also triggered by a leniency application filed by voestalpine AG. In this case, the company was granted immunity from a fine.</w:t>
      </w:r>
    </w:p>
    <w:p>
      <w:r>
        <w:t>In the course of the investigations, Vossloh's subsidiary Kihn S.A., Rumelange, Luxembourg, also filed for leniency in respect of price agreements with voestalpine BWG GmbH &amp; Co. KG, Butzbach. Prices were agreed in response to calls for tender by Deutsche Bahn for switch blades from 2006 to 2011. Kihn S.A. was granted immunity from its fine.</w:t>
      </w:r>
    </w:p>
    <w:p>
      <w:r>
        <w:rPr>
          <w:b/>
        </w:rPr>
        <w:t>[Pages 4–4]</w:t>
      </w:r>
    </w:p>
    <w:p>
      <w:r>
        <w:t>In these proceedings, the Bundeskartellamt cooperates closely with the public prosecutor's office and criminal investigation department in Bochum since they relate to cartels concerning publicly tendered products and services. The public prosecutor's office is investigating the natural persons involved on suspicion of collusive tendering. The orders imposing the fines are now final. This concludes merely the first part of these proceedings. The Bundeskartellamt has now shifted the focus of its investigations in the rail case to other areas, including rails and switches for regional and local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