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https://www.bundeskartellamt.de/SharedDocs/Entscheidung/DE/Fallberichte/Kartellverbot/2017/B12-13-09.pdf?__blob=publicationFile&amp;v=3</w:t>
      </w:r>
    </w:p>
    <w:p>
      <w:r>
        <w:t>Pages translated : 5</w:t>
      </w:r>
    </w:p>
    <w:p/>
    <w:p>
      <w:r>
        <w:rPr>
          <w:b/>
        </w:rPr>
        <w:t>[Pages 1–3]</w:t>
      </w:r>
    </w:p>
    <w:p>
      <w:r>
        <w:t xml:space="preserve">1  </w:t>
        <w:br/>
        <w:t xml:space="preserve">Case Report 1 September 2017  </w:t>
        <w:br/>
        <w:t xml:space="preserve">Sausage Cartel  </w:t>
        <w:br/>
        <w:t xml:space="preserve">Industry: Production of meat and sausage products  </w:t>
        <w:br/>
        <w:t xml:space="preserve">File Number: B12-13/09  </w:t>
        <w:br/>
        <w:t xml:space="preserve">Date of Decisions: 27.11.2013 to 31.07.2014  </w:t>
        <w:br/>
        <w:t xml:space="preserve">On 29.06.2017, the Federal Cartel Office fully transferred the fine proceedings against manufacturers of meat and/or sausage products to the Public Prosecutor's Office in Düsseldorf. Originally, the Federal Cartel Office had imposed fines totaling approximately 338.5 million euros on 22 companies and 33 responsible individuals during the period from 27.11.2013 to 31.07.2014 (Press Release of 15.07.2014).  </w:t>
        <w:br/>
        <w:t xml:space="preserve">In the interim proceedings – i.e., in the period between the issuance of the penalty notices and the transfer to the Public Prosecutor's Office in Düsseldorf – the penalty notices against the formerly additional affected parties  </w:t>
        <w:br/>
        <w:t xml:space="preserve">- Böklunder Plumrose GmbH &amp; Co. KG [19.10.2016],  </w:t>
        <w:br/>
        <w:t xml:space="preserve">- Könecke Fleischwarenfabrik GmbH &amp; Co. KG [19.10.2016],  </w:t>
        <w:br/>
        <w:t xml:space="preserve">- Bell Deutschland Holding GmbH [22.06.2017], formerly Abraham Schinken GmbH or Zimbo Fleisch- und Wurstwaren GmbH &amp; Co. KG,  </w:t>
        <w:br/>
        <w:t xml:space="preserve">- Marten Vertriebs GmbH &amp; Co. KG [22.06.2017], and  </w:t>
        <w:br/>
        <w:t xml:space="preserve">- Sickendiek Fleischwarenfabrik GmbH &amp; Co. KG [22.06.2017]  </w:t>
        <w:br/>
        <w:t xml:space="preserve">were revoked due to internal corporate restructuring [date of cessation in parentheses]. As a result, fines totaling approximately 238 million euros were eliminated in this proceeding ("Sausage Gap" – Press Releases of 19.10.2016 and 26.06.2017).  </w:t>
        <w:br/>
        <w:t>The fine proceedings against the formerly additional affected party Herta GmbH were discontinued on 30.03.2017 for discretionary reasons due to further investigations in the interim proceedings.</w:t>
      </w:r>
    </w:p>
    <w:p>
      <w:r>
        <w:t xml:space="preserve">2  </w:t>
        <w:br/>
        <w:t xml:space="preserve">At the time of submission, the penalty notices against 17 affected parties and the following 5 additional affected parties with fines totaling approximately 25 million euros were not yet legally binding:  </w:t>
        <w:br/>
        <w:t xml:space="preserve">- Franz Wiltmann GmbH &amp; Co. KG,  </w:t>
        <w:br/>
        <w:t xml:space="preserve">- Heidemark Mästerkreis GmbH &amp; Co. KG,  </w:t>
        <w:br/>
        <w:t xml:space="preserve">- Wiesenhof Geflügelwurst GmbH &amp; Co. KG,  </w:t>
        <w:br/>
        <w:t xml:space="preserve">- Willms Fleisch GmbH Bröltaler Wurst- und Schinkenwaren, and  </w:t>
        <w:br/>
        <w:t xml:space="preserve">- Rügenwalder Mühle Carl Müller GmbH &amp; Co. KG.  </w:t>
        <w:br/>
        <w:t xml:space="preserve">Fines totaling approximately 71 million euros are already legally binding. The companies that have been legally fined are:  </w:t>
        <w:br/>
        <w:t xml:space="preserve">- Döllinghareico GmbH &amp; Co. KG,  </w:t>
        <w:br/>
        <w:t xml:space="preserve">- Höhenrainer Delikatessen GmbH,  </w:t>
        <w:br/>
        <w:t xml:space="preserve">- Rudolf und Robert Houdek GmbH,  </w:t>
        <w:br/>
        <w:t xml:space="preserve">- H. Kemper GmbH &amp; Co. KG,  </w:t>
        <w:br/>
        <w:t xml:space="preserve">- Hans Kupfer &amp; Sohn GmbH &amp; Co. KG,  </w:t>
        <w:br/>
        <w:t xml:space="preserve">- Lutz Fleischwaren GmbH,  </w:t>
        <w:br/>
        <w:t xml:space="preserve">- Meica Ammerländische Fleischwarenfabrik Fritz Meinen GmbH &amp; Co. KG,  </w:t>
        <w:br/>
        <w:t xml:space="preserve">- Metten Fleischwaren GmbH &amp; Co. KG,  </w:t>
        <w:br/>
        <w:t xml:space="preserve">- Ponnath DIE MEISTERMETZGER GmbH,  </w:t>
        <w:br/>
        <w:t xml:space="preserve">- H. &amp; E. Reinert Holding GmbH &amp; Co. KG, and  </w:t>
        <w:br/>
        <w:t xml:space="preserve">- Westfälische Fleischwarenfabrik Stockmeyer GmbH.  </w:t>
        <w:br/>
        <w:t xml:space="preserve">Established Facts  </w:t>
        <w:br/>
        <w:t xml:space="preserve">According to the investigations of the decision-making department, the representatives of the affected companies shared a common understanding to jointly approach the major retail chains in the grocery retail sector (hereinafter: "LEH") in the area of meat and sausage products made from poultry or pork in the territory of the Federal Republic of Germany during upcoming price negotiations. The affected parties implemented the common understanding by participating in subsequent agreements or exchanges of information within the framework of the individual rounds of price increases. These aimed to reach an agreement on the scope of a price increase demand, its justification, and the time at which a proposed price increase should take effect. Furthermore, the common understanding – as well as the subsequent agreements and exchanges of information regarding the individual rounds of price increases – included an agreement on the timing of approaching the major retail chains in the LEH with this demand and, if necessary, on which competitor should take the lead in this. The goal of the common understanding and the subsequent agreements and exchanges of information regarding the individual rounds of price increases was to approach the LEH jointly and uniformly, in order to enforce price increase demands in negotiations with more emphasis and thus more successfully. This affected packaged goods (so-called "self-service goods") and goods offered at the fresh food counter.  </w:t>
        <w:br/>
        <w:t xml:space="preserve">The further agreements and exchanges of information based on the common understanding regarding the individual rounds of price increases took place bilaterally – usually by phone – and multilaterally in the so-called "Atlantic Circle," which existed from 1982 until at least 25.05.2011 – named after the present Hotel "Atlantic Kempinski" in Hamburg, where one of the first meetings took place in the early 1980s – and particularly concerned the price increase rounds of the years  </w:t>
        <w:br/>
        <w:t xml:space="preserve">- 2008 (pork),  </w:t>
        <w:br/>
        <w:t xml:space="preserve">- 2007 (poultry),  </w:t>
        <w:br/>
        <w:t xml:space="preserve">- 2006 (pork),  </w:t>
        <w:br/>
        <w:t xml:space="preserve">- 2005 (poultry),  </w:t>
        <w:br/>
        <w:t xml:space="preserve">- 2004 (pork), and/or  </w:t>
        <w:br/>
        <w:t xml:space="preserve">- 2003 (pork).  </w:t>
        <w:br/>
        <w:t xml:space="preserve">The participating companies and their responsible individuals were involved to varying (including temporal) extents in the further agreements and exchanges of information based on the common understanding and not all were members of the "Atlantic Circle." Some only became aware of the existence of this circle through the investigations of the Office.  </w:t>
        <w:br/>
        <w:t xml:space="preserve">Procedural History  </w:t>
        <w:br/>
        <w:t xml:space="preserve">The Federal Cartel Office became aware of the agreements through an anonymous tip-off and conducted searches at a total of 19 locations on 22.07.2009.  </w:t>
        <w:br/>
        <w:t>In the course of the evaluation of the seized evidence, further companies and their responsible individuals came under scrutiny, which is why additional proceedings were initiated against further parties at the beginning of 2012.</w:t>
      </w:r>
    </w:p>
    <w:p>
      <w:r>
        <w:rPr>
          <w:b/>
        </w:rPr>
        <w:t>[Pages 4–5]</w:t>
      </w:r>
    </w:p>
    <w:p>
      <w:r>
        <w:t xml:space="preserve">4  </w:t>
        <w:br/>
        <w:t xml:space="preserve">Proceedings for cartel administrative offenses were initiated against companies and their responsible acting individuals. In total, proceedings were initiated against 26 companies (groups) and 51 natural persons.  </w:t>
        <w:br/>
        <w:t xml:space="preserve">The companies  </w:t>
        <w:br/>
        <w:t xml:space="preserve">- Döllinghareico GmbH &amp; Co. KG,  </w:t>
        <w:br/>
        <w:t xml:space="preserve">- Höhenrainer Delikatessen GmbH,  </w:t>
        <w:br/>
        <w:t xml:space="preserve">- Rudolf und Robert Houdek GmbH,  </w:t>
        <w:br/>
        <w:t xml:space="preserve">- H. Kemper GmbH &amp; Co. KG,  </w:t>
        <w:br/>
        <w:t xml:space="preserve">- Hans Kupfer &amp; Sohn GmbH &amp; Co. KG,  </w:t>
        <w:br/>
        <w:t xml:space="preserve">- Lutz Fleischwaren GmbH,  </w:t>
        <w:br/>
        <w:t xml:space="preserve">- Meica Ammerländische Fleischwarenfabrik Fritz Meinen GmbH &amp; Co. KG,  </w:t>
        <w:br/>
        <w:t xml:space="preserve">- H. Nölke GmbH &amp; Co. KG,  </w:t>
        <w:br/>
        <w:t xml:space="preserve">- Ponnath DIE MEISTERMETZGER GmbH, and  </w:t>
        <w:br/>
        <w:t xml:space="preserve">- Westfälische Fleischwarenfabrik Stockmeyer GmbH  </w:t>
        <w:br/>
        <w:t xml:space="preserve">and their company representatives made use of the leniency program (Notice No. 9/2006 of the Federal Cartel Office on the waiver and reduction of fines in cartel cases – Leniency Notice – dated March 7, 2006), cooperated with the Federal Cartel Office, and have amicably concluded their respective proceedings within the framework of a "settlement."  </w:t>
        <w:br/>
        <w:t xml:space="preserve">The company Metten Fleischwaren GmbH &amp; Co. KG concluded its proceedings amicably within the framework of a "settlement" without utilizing the leniency program.  </w:t>
        <w:br/>
        <w:t xml:space="preserve">The company H. &amp; E. Reinert Holding GmbH &amp; Co. KG withdrew its objection against the penalty notice dated June 30, 2014, during the interim proceedings and paid the fine.  </w:t>
        <w:br/>
        <w:t xml:space="preserve">The proceedings were transferred to the Public Prosecutor's Office in Düsseldorf in two steps on April 13, 2017, and June 29, 2017. Prior to this, the office granted injured third parties access to the redacted penalty notices (§ 406e StPO).  </w:t>
        <w:br/>
        <w:t>Persons who have suffered damage as a result of the violation may demand compensation from the parties involved, provided the legal requirements are met (§ 33a GWB). As far as the penalty notices are already legally binding, they have a binding effect regarding the determination of the violation according to § 33b GWB.</w:t>
      </w:r>
    </w:p>
    <w:p>
      <w:r>
        <w:t xml:space="preserve">5  </w:t>
        <w:br/>
        <w:t>The case report reflects the status as of the day of publication and does not account for any subsequent events (court decisions, withdrawal of objections).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