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https://www.bundeskartellamt.de/SharedDocs/Entscheidung/DE/Fallberichte/Kartellverbot/2013/B12-16-11_B12-19-12.pdf?__blob=publicationFile&amp;v=6</w:t>
      </w:r>
    </w:p>
    <w:p>
      <w:r>
        <w:t>Pages translated : 4</w:t>
      </w:r>
    </w:p>
    <w:p/>
    <w:p>
      <w:r>
        <w:rPr>
          <w:b/>
        </w:rPr>
        <w:t>[Pages 1–3]</w:t>
      </w:r>
    </w:p>
    <w:p>
      <w:r>
        <w:t xml:space="preserve">Case Report September 6, 2013  </w:t>
        <w:br/>
        <w:t xml:space="preserve">Further Fines Imposed in the Rail Case  </w:t>
        <w:br/>
        <w:t xml:space="preserve">Industry:  </w:t>
        <w:br/>
        <w:t xml:space="preserve">Manufacturers and Suppliers of Track Superstructure Materials  </w:t>
        <w:br/>
        <w:t xml:space="preserve">(Rails, Switches, Sleepers)  </w:t>
        <w:br/>
        <w:t xml:space="preserve">File Number:  </w:t>
        <w:br/>
        <w:t xml:space="preserve">B12 – 16/12, B12 – 19/12  </w:t>
        <w:br/>
        <w:t xml:space="preserve">Conclusion of the Proceedings:  </w:t>
        <w:br/>
        <w:t xml:space="preserve">July 2013  </w:t>
        <w:br/>
        <w:t xml:space="preserve">The Federal Cartel Office imposed further fines in July 2013 and March 2016 in the rail cartel case against nine companies totaling more than 100 million euros. This penalized price, quota, and customer protection agreements to the detriment of local transport companies, private, regional, and industrial railways, as well as construction companies during the period from 2001 to May 2011.  </w:t>
        <w:br/>
        <w:t xml:space="preserve">Fines were issued against ThyssenKrupp GfT Gleistechnik GmbH, Essen, in the amount of 88 million euros, voestalpine BWG GmbH, Butzbach, in the amount of 6.4 million euros, and Schreck-Mieves GmbH, Braunschweig, in the amount of 2.0 million euros. The companies Holz-Fehlings Gleistechnik und Entsorgung GmbH, Marl-Sinsen, Fehlings Narosch Gleistechnik und Entsorgung GmbH, Munich, Künstler Bahntechnik GmbH, Holzwickede, Heinrich Krug GmbH &amp; Co. KG, Dortmund, and Betzler Eisenbahntechnik GmbH, Aalen, received fines totaling 1.24 million euros. The fine notices have since become legally binding. Against the company Vossloh laeis GmbH, Treier, fines totaling 3.4 million euros were imposed in March 2016. This decision is not yet legally binding.  </w:t>
        <w:br/>
        <w:t xml:space="preserve">Almost all of the mentioned companies cooperated with the Federal Cartel Office during the proceedings under the leniency program. In determining the fines – which were based on the new fine guidelines of the Federal Cartel Office – the contributions to cooperation, the varying duration of participation in the offense, and the willingness to reach an amicable conclusion of the proceedings (so-called settlement) were taken into account. The rail cartel proceedings were originally triggered by a leniency application from the company voestalpine in 2011. The cartel agreements aimed to allocate tenders or projects among the cartel participants. The tenders generally included product combinations with multiple lots (different rails by quality and profile type, switches, sleepers) but also individual lots. In tenders with multiple lots, the coordination of the agreement was carried out by a rail or switch company, depending on whether the project was rail-heavy or switch-heavy. This ensured that the project was always coordinated as a whole, regardless of the respective product focus.  </w:t>
        <w:br/>
        <w:t xml:space="preserve">Not all companies involved in the agreements offered all affected products and/or operated nationwide. However, the cartel agreements were always based on the same fundamental understanding and comparable implementation, although they occurred regionally with varying intensity.  </w:t>
        <w:br/>
        <w:t xml:space="preserve">Communication within the cartel primarily took place through telephone contacts and personal meetings as well as emails. For camouflage, price information was sometimes transmitted over the phone as stock or market values. Sometimes prices were also communicated as lottery numbers.  </w:t>
        <w:br/>
        <w:t xml:space="preserve">The practice of agreements in the private market was largely based on the assignment of certain "old customers" or regular customers to individual companies. This assignment of customers to specific companies was generally respected by the cartel participants. They "protected" these companies by consciously refraining from submitting bids, submitting them only after the bid submission deadline, or deliberately submitting overpriced bids so that the contract could go to the "predetermined" company. The company that was to receive the respective contract was sometimes referred to in the procurement process as the "lead player" or "leading company." The "leading company" then had an organizational and coordinating function in implementing the agreement. It was responsible, among other things, for informing the other participating companies of the prices that they should communicate in their bids to the customer (so-called protective offers).  </w:t>
        <w:br/>
        <w:t xml:space="preserve">As compensation for submitting protective offers, the companies were mostly involved through subcontracts. However, it was also sometimes agreed that companies that did not receive subcontracts would be given priority in the next equivalent tenders. In other cases, companies received a planning contract or a contract for an expert opinion as compensation for submitting an agreed-upon higher bid, which in at least some instances were not created but were billed (so-called compensation transactions). In this respect, the agreements concerned individual project-related tenders. However, the compensation between the companies involved in the agreement was not only project-related through subcontracting for individual service components or lots. Rather, the system was based on a cross-project "understanding and trust relationship" among the individual companies. In return for submitting a protective offer in a specific project, the "protecting" company could generally assume that it would be "protected" by the co-cartelists in another project. The process of the agreement was overall established as a rule of play such that often no explicit or case-by-case agreement between the participating companies was needed for the respective projects anymore.  </w:t>
        <w:br/>
        <w:t xml:space="preserve">To reduce the risk of detection, this approach was occasionally deviated from by assigning a cartel company a project from a customer for which it was not the regular supplier. The regular supplier received a subcontract as compensation.  </w:t>
        <w:br/>
        <w:t>Linked to the system of regular customers was the often customer-desired specific orientation of tenders. Thus, the individual companies were often involved in the preparation of specifications for tenders from their respective regular customers and could thereby influence the technical and planning aspects of the preparation of the tender documents and product requirements. Through the combination of the regular customer system with specifically tailored products in specifications for certain companies, the individual cartel participants were already aware before a tender of which company the respective project had to go to with individual customers.</w:t>
      </w:r>
    </w:p>
    <w:p>
      <w:r>
        <w:rPr>
          <w:b/>
        </w:rPr>
        <w:t>[Pages 4–4]</w:t>
      </w:r>
    </w:p>
    <w:p>
      <w:r>
        <w:t>As a specific platform for the agreements on switch-heavy projects, the cartel companies utilized the meetings of the so-called Marketing Working Group within the Association of Switch Manufacturing and the Association of the Railway Industry (VDB) at least from 2001 to 2008. These meetings took place five to eight times a year. From the beginning of 2009, the Marketing Working Group lost its significance as a forum for the agreements of the switch manufacturers. Contacts now occurred more frequently on a case-by-case basis. This was due to the fact that the assignment of regular customers and the associated approach among the cartel participants had developed in regionally different forms.</w:t>
      </w:r>
    </w:p>
    <w:p>
      <w:r>
        <w:t>Within the described cartel structure, there was also a cartel law-violating distribution agreement bilaterally between ThyssenKrupp GfT Gleistechnik GmbH and TSTG Schienen Technik GmbH, which belongs to the voestalpine Group. This distribution agreement only related to the product area of rails.</w:t>
      </w:r>
    </w:p>
    <w:p>
      <w:r>
        <w:t>In the now largely concluded second part of the rail proceedings, the focus was no longer on agreements to the detriment of Deutsche Bahn AG. This factual complex was already concluded in July 2013 with the imposition of a fine against the company Moravia Steel.</w:t>
      </w:r>
    </w:p>
    <w:p>
      <w:r>
        <w:t>Throughout the proceedings, the Federal Cartel Office is working closely with the Public Prosecutor's Office in Bochum and the Criminal Police in Bochum, as these are cartels affecting publicly tendered products and services. The Public Prosecutor's Office is investigating on suspicion of bid rigging against the acting natural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