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http://www.bundeskartellamt.de:80/SharedDocs/Entscheidung/DE/Fallberichte/Kartellverbot/2017/B12-16-13.pdf;jsessionid=C73FFD0BC83A1350CE94307DE0084382.2_cid362?__blob=publicationFile&amp;v=2</w:t>
      </w:r>
    </w:p>
    <w:p>
      <w:r>
        <w:t>Pages translated : 3</w:t>
      </w:r>
    </w:p>
    <w:p/>
    <w:p>
      <w:r>
        <w:rPr>
          <w:b/>
        </w:rPr>
        <w:t>[Pages 1–3]</w:t>
      </w:r>
    </w:p>
    <w:p>
      <w:r>
        <w:t>1</w:t>
        <w:br/>
        <w:t>Case Report August 18, 2017</w:t>
        <w:br/>
        <w:t>Fines Against Automotive Suppliers</w:t>
        <w:br/>
        <w:t>Industry: Manufacture and Distribution of Heat Shield Plates for the Automotive Industry</w:t>
        <w:br/>
        <w:t>File Number: B12-16/13</w:t>
        <w:br/>
        <w:t>Date of Decision: April 27, 2017 and June 22, 2017</w:t>
        <w:br/>
        <w:t>The Federal Cartel Office imposed fines totaling approximately €9.6 million on April 27, 2017 and June 22, 2017 against three manufacturers of heat shield plates and their responsible employees for violations of Article 101(1) TFEU. This penalized anti-competitive agreements and coordinated behaviors to the detriment of the automobile manufacturer VW.</w:t>
      </w:r>
    </w:p>
    <w:p>
      <w:r>
        <w:t>The fined companies are Lydall Gerhardi GmbH &amp; Co. KG, Meinerzhagen (Lydall), ElringKlinger Abschirmtechnik (Schweiz) AG, Sevelen (ElringKlinger), and Estamp S.A.U., Terrassa, Spain (Estamp).</w:t>
      </w:r>
    </w:p>
    <w:p>
      <w:r>
        <w:t>The proceedings were initiated in 2014 following a whistleblower application from the company Carcoustics International GmbH, Leverkusen (Carcoustics), which was also involved in the agreements and coordinated behaviors.</w:t>
      </w:r>
    </w:p>
    <w:p>
      <w:r>
        <w:t>The agreements and coordinated behaviors affected the market for heat shield plates. The companies involved are manufacturers of heat shield plates for further processing in the automotive industry.</w:t>
      </w:r>
    </w:p>
    <w:p>
      <w:r>
        <w:t>Heat shield plates are made from aluminum sheets. They are intended to shield the radiation heat generated primarily in the engine compartment and exhaust system of the vehicle from other areas (passenger compartment, fuel tank, etc.). The aluminum sheets are purchased by the heat shield plate manufacturers as semi-finished products in the form of coils and then shaped accordingly.</w:t>
      </w:r>
    </w:p>
    <w:p>
      <w:r>
        <w:t>In 2010, aluminum suppliers announced significant price increases for aluminum ancillary costs to the manufacturers of heat shield plates. Specifically,</w:t>
      </w:r>
    </w:p>
    <w:p>
      <w:r>
        <w:t>2</w:t>
        <w:br/>
        <w:t>on the one hand, the costs for processing aluminum ingots into coils were expected to rise significantly (forming/processing costs). On the other hand, during the same period, the dealer commission (premium, also called premium) per ton of aluminum ingots increased. Against the backdrop of these significant cost increases, series producers were partially unable to produce the heat shield plates made of aluminum cost-effectively. The companies involved then independently initiated negotiations with VW to persuade VW to share the increased ancillary aluminum costs from January 1, 2011.</w:t>
      </w:r>
    </w:p>
    <w:p>
      <w:r>
        <w:t>In this situation, there were numerous bilateral - mostly telephonic - contacts between the involved companies in 2011, although not all involved companies maintained mutual contacts, and the frequency of the respective contacts varied. Here, the involved companies exchanged information about the status of negotiations with VW.</w:t>
      </w:r>
    </w:p>
    <w:p>
      <w:r>
        <w:t>In addition to the bilateral contacts, there was a multilateral meeting in 2011 involving the companies Carcoustics, Estamp, and Lydall.</w:t>
      </w:r>
    </w:p>
    <w:p>
      <w:r>
        <w:t>The companies involved in the aforementioned contacts aimed to strengthen their negotiating position against the customer VW by exchanging sensitive information. They agreed that the increased aluminum ancillary costs should be passed on to the customer VW, with each company demanding its own individual price increase. The negotiations between VW and the involved companies continued until the end of November 2011. At the end of November 2011, the aforementioned bilateral contacts between the involved companies also ended.</w:t>
      </w:r>
    </w:p>
    <w:p>
      <w:r>
        <w:t>The fines were determined based on the revenue in accordance with the fine guidelines of the Federal Cartel Office. In determining the amount of the fines, the Federal Cartel Office considered the nature and severity as well as the duration of the cartel violation, and also took into account the varying intensity of contacts with competitors.</w:t>
      </w:r>
    </w:p>
    <w:p>
      <w:r>
        <w:t>In favor of the cartel participants, it was considered that VW, given its market share and also in light of existing contracts, had a strong negotiating position, which it exercised according to the findings of the Federal Cartel Office in the present proceedings.</w:t>
      </w:r>
    </w:p>
    <w:p>
      <w:r>
        <w:t>Furthermore, in applying the Office's leniency program, it was taken into account that two of the fined companies cooperated with the Federal Cartel Office under the leniency program during the proceedings. Additionally, all three fined companies and their personally affected individuals agreed to a consensual termination of the proceedings (so-called settlement), which further reduced the fines for the companies and affected individuals.</w:t>
      </w:r>
    </w:p>
    <w:p>
      <w:r>
        <w:t>No fine was imposed on the company Carcoustics, which was also involved in the agreements, under the leniency program.</w:t>
      </w:r>
    </w:p>
    <w:p>
      <w:r>
        <w:t>The fine notices have since become legally binding. Thus, the proceedings are concluded. Individuals who have suffered damage as a result of the violation may claim compensation from the parties involved, provided the legal requirements are met (§ 33a GWB). As far as the fine notices are already legally binding, they have a binding effect regarding the determination of the violation according to § 33b GWB.</w:t>
      </w:r>
    </w:p>
    <w:p>
      <w:r>
        <w:t>The case report reflects the status as of the date of publication and does not account for any later events (court decisions, withdrawal of objections).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