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https://www.bundeskartellamt.de/SharedDocs/Entscheidung/DE/Fallberichte/Kartellverbot/2021/B12-22-17.pdf;jsessionid=7907148952A4F2609555053EED858B9E.1_cid387?__blob=publicationFile&amp;v=4</w:t>
      </w:r>
    </w:p>
    <w:p>
      <w:r>
        <w:t>Pages translated : 3</w:t>
      </w:r>
    </w:p>
    <w:p/>
    <w:p>
      <w:r>
        <w:rPr>
          <w:b/>
        </w:rPr>
        <w:t>[Pages 1–3]</w:t>
      </w:r>
    </w:p>
    <w:p>
      <w:r>
        <w:t xml:space="preserve">Case Report February 10, 2021  </w:t>
        <w:br/>
        <w:t xml:space="preserve">Federal Cartel Office Imposes Fines on Forging Companies  </w:t>
        <w:br/>
        <w:t xml:space="preserve">Industry: Forging  </w:t>
        <w:br/>
        <w:t xml:space="preserve">File Number: B 12 – 22/17  </w:t>
        <w:br/>
        <w:t>Date of Decision: February 4, 2021</w:t>
      </w:r>
    </w:p>
    <w:p>
      <w:r>
        <w:t>The Federal Cartel Office has imposed fines totaling approximately 35 million euros against three forging companies and two responsible employees for participating in an antitrust-prohibited exchange of information. The companies involved are the two companies belonging to the Indian Bharat Forge Group, CDP Bharat Forge GmbH (now: Bharat Forge Global Holding GmbH) and Bharat Forge CDP GmbH, both based in Ennepetal, as well as the former Johann Hay GmbH &amp; Co. KG Automobiltechnik (now: Musashi Bockenau GmbH &amp; Co. KG), Bad Sobernheim ("Hay").</w:t>
      </w:r>
    </w:p>
    <w:p>
      <w:r>
        <w:t>The investigations by the Federal Cartel Office were triggered by a whistleblower application from the forging company Hirschvogel Umformtechnik GmbH based in Denklingen ("Hirschvogel"). In accordance with the Federal Cartel Office's leniency program, no fine was imposed on this company.</w:t>
      </w:r>
    </w:p>
    <w:p>
      <w:r>
        <w:t>Between responsible representatives of the aforementioned leading German forging companies and other forging companies from France, Spain, Italy, Sweden, and Turkey, various antitrust violations occurred from October 2002 to December 2016 during the activities of a working group of the European forging association EUROFORGE and in its environment. The company representatives used the meetings, which took place up to three times a year, to exchange competitively sensitive information, particularly regarding their respective cost situations, pricing, and specific negotiations with suppliers and customers. The Federal Cartel Office does not accuse the forging association EUROFORGE and its employees of participating in the exchange of information.</w:t>
      </w:r>
    </w:p>
    <w:p>
      <w:r>
        <w:t>The exchange took place with the intention of passing on the own production costs of forged steel products and corresponding cost changes as completely as possible to their own customer base. The major customers of forged products primarily include large automobile companies (so-called "OEMs") and their supplier industry. The exchange practiced by the forging companies particularly included costs in the area of the stainless steel used (steel base prices plus industry-standard surcharges) as well as in the area of energy and labor costs. The company representatives involved pursued the described exchange of information also in numerous bi- and multilateral contacts outside the meetings of the working group, where it concerned specific negotiation positions, strategies, and results with the customer side. Furthermore, a comparable exchange also took place regarding procurement negotiations with the supplier side.</w:t>
      </w:r>
    </w:p>
    <w:p>
      <w:r>
        <w:t>Specifically, the described exchange was practiced in such a way that representatives of the forging companies informed each other about the status of ongoing customer negotiations, negotiation goals and strategies, as well as demands that arose from the customer side. They informed and supported each other regarding the strategies to be applied and ultimately also informed each other about the extent of the price adjustments achieved in the context of customer contracts. Additionally, there was mutual information regarding the respective negotiation goals and statuses as well as concluded agreements with steel suppliers for the area of annual steel procurement.</w:t>
      </w:r>
    </w:p>
    <w:p>
      <w:r>
        <w:t>The exchange of competitively sensitive data took place both in the context of roundtable inquiries and on a bilateral basis and in small groups on the sidelines of meetings, as well as, if necessary, by telephone or email.</w:t>
      </w:r>
    </w:p>
    <w:p>
      <w:r>
        <w:t>During the period from 2002 to 2016, the company representatives met on average about two to three times a year, mostly in hotels. One meeting typically took place in the fall, and another was held in the spring. Additionally, there were occasionally further meetings held in rotation at the participating companies throughout the calendar year. The meetings of the working group, which took place at changing locations in Germany, Italy, France, Spain, Sweden, the United Kingdom, Poland, the Czech Republic, and Turkey, were generally designed as two-day meetings and often began with a joint dinner for the participants on the day of arrival. In total, the company representatives met at least 44 times for meetings and discussions since the establishment of the working group in 2002 until its dissolution at the end of 2016.</w:t>
      </w:r>
    </w:p>
    <w:p>
      <w:r>
        <w:t>In determining the fines, in addition to the duration and severity of the offense, it was taken into account that all companies cooperated extensively with the Federal Cartel Office during the proceedings. Furthermore, amicable procedural agreements (so-called "settlements") were reached with the companies, which further reduced the fines for these firms.</w:t>
      </w:r>
    </w:p>
    <w:p>
      <w:r>
        <w:t>The imposed fines are not yet legally binding. Appeals can be filed against the decisions, which would be decided by the Higher Regional Court of Düsseldorf. The Federal Cartel Office did not initiate proceedings against the foreign forging companies for discretionary reasons.</w:t>
      </w:r>
    </w:p>
    <w:p>
      <w:r>
        <w:t>Persons who have suffered damage as a result of the violation can demand compensation from the parties involved if the legal requirements are met (§ 33a GWB). The legally binding fine notices have a binding effect regarding the determination of the violation against their addressees according to § 33b GWB.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