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https://www.bundeskartellamt.de/SharedDocs/Entscheidung/DE/Fallberichte/Kartellverbot/2016/B12-23-15.pdf?__blob=publicationFile&amp;</w:t>
      </w:r>
    </w:p>
    <w:p>
      <w:r>
        <w:t>Pages translated : 3</w:t>
      </w:r>
    </w:p>
    <w:p/>
    <w:p>
      <w:r>
        <w:rPr>
          <w:b/>
        </w:rPr>
        <w:t>[Pages 1–3]</w:t>
      </w:r>
    </w:p>
    <w:p>
      <w:r>
        <w:t>1</w:t>
        <w:br/>
        <w:t>Case Report September 12, 2016</w:t>
        <w:br/>
        <w:t>Federal Cartel Office imposes fines on television studio operators</w:t>
        <w:br/>
        <w:t>Industry: Film and television production</w:t>
        <w:br/>
        <w:t>File number: B12 - 23/15</w:t>
        <w:br/>
        <w:t>Date of decision: July 26, 2016</w:t>
        <w:br/>
        <w:t>The Federal Cartel Office has imposed fines totaling approximately €3.1 million on Studio Berlin Adlershof (SBA) GmbH, its sister company Studio Berlin Broadcast GmbH (together referred to as "Studio Berlin"), and Bavaria Studios &amp; Production Services GmbH ("Bavaria"), based in Grünwald near Munich, for participating in an antitrust-prohibited exchange of information. The investigations by the Federal Cartel Office were triggered by a whistleblower application from the also involved studio operator MMC Studios Köln GmbH ("MMC").</w:t>
        <w:br/>
        <w:t>Between the responsible representatives of the companies, there were regular meetings and further personal contacts from September 2011 to December 2014 to curb the existing price competition in the operation of studios for TV and film productions and to improve the revenue situation of the participating companies. Specifically, information was exchanged between Studio Berlin, Bavaria, and MMC regarding prices, content of offers, peculiarities of offer behavior, and other competitively sensitive information.</w:t>
        <w:br/>
        <w:t>A significant focus of the information exchange was particularly on all aspects of the calculation and amount of so-called "ancillary costs." This refers to the entire block of consumption-dependent costs for electricity, gas or oil heating, and water in connection with a studio production for film and television purposes. Due to the extensive lighting equipment required and the energy needs of numerous cameras and sound technical devices, the applicable electricity costs in the context of an offer calculation are of considerable importance.</w:t>
      </w:r>
    </w:p>
    <w:p>
      <w:r>
        <w:t>2</w:t>
        <w:br/>
        <w:t>In the course of discussing the detailed cost items, the company representatives of the three studio operators also exchanged views on the applicable personnel cost rates for freelance employees and other specialists. They simultaneously addressed the varying levels of weekend and holiday surcharges, insurance contributions, as well as the key offer parameters of the respective business terms (required advance services, deposit amounts, calculation of cancellation fees, etc.). It could not be determined whether and to what extent the discussions actually led to the desired changes in price levels.</w:t>
        <w:br/>
        <w:t>The meetings also served to discuss the price and offer behavior observed in the competition. The participants made mutual accusations regarding too low offer prices and expressed their annoyance, particularly concerning "preferred existing customers," about low-price offers from within the participant group. Here, the aim was to find a consensus that in such cases, underbidding from within the participant group should be avoided as much as possible. The own offer behavior was to be critically questioned through the discussions. However, no specific price or customer agreements regarding future projects were made.</w:t>
        <w:br/>
        <w:t>In at least two cases, the participants also discussed the fundamental participation or non-participation in ongoing or upcoming tenders and contract awards from broadcasters and production companies. By doing so, they eliminated secret competition and restricted competition among potential bidders. In individual cases, there was also at least an effort for offer coordination and mutual information exchange during the period of the offense, even while procurement procedures were still ongoing. However, no concretely implemented offer coordinations could be established.</w:t>
        <w:br/>
        <w:t>The involved company representatives from Studio Berlin, Bavaria, and MMC ensured that the meetings took place as much as possible away from their respective company premises. Instead, during the period of the offense, they met several times in Cologne, Munich, and Berlin in various restaurants and hotels. They adhered to a certain rotation principle among the three locations. No agendas or minutes were prepared for the meetings.</w:t>
        <w:br/>
        <w:t>In setting the fines, in addition to the duration and severity of the offense, it was taken into account that all companies cooperated comprehensively with the Federal Cartel Office during the proceedings. Furthermore, amicable procedural conclusions (so-called "settlements") were reached with Studio Berlin and Bavaria, which had a further mitigating effect on the fines for these companies. In applying the bonus regulation of the Federal Cartel Office, no fine was imposed on the company MMC.</w:t>
        <w:br/>
        <w:t>The imposed fines have since become legally binding.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