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https://www.bundeskartellamt.de/SharedDocs/Entscheidung/DE/Fallberichte/Kartellverbot/2022/B1_198_20.pdf;jsessionid=1C191819A30C85FC1AA51667F349917D.2_cid362?__blob=publicationFile&amp;v=4</w:t>
      </w:r>
    </w:p>
    <w:p>
      <w:r>
        <w:t>Pages translated : 7</w:t>
      </w:r>
    </w:p>
    <w:p/>
    <w:p>
      <w:r>
        <w:rPr>
          <w:b/>
        </w:rPr>
        <w:t>[Pages 1–3]</w:t>
      </w:r>
    </w:p>
    <w:p>
      <w:r>
        <w:t>Case Report 15.02.2022</w:t>
        <w:br/>
        <w:t>__________________________________________________________________________</w:t>
        <w:br/>
        <w:t>Federal Cartel Office Discontinues Proceedings Regarding the Accession of KHG GmbH &amp; Co. KG (Krieger/Höffner Group) to the Furniture Purchasing Cooperative Begros Following Extensive Changes to the Initial Project</w:t>
        <w:br/>
        <w:t>Industry: Furniture Retail</w:t>
        <w:br/>
        <w:t>File Number: B1-198/20</w:t>
        <w:br/>
        <w:t>Date of Decision: 19.01.2022</w:t>
        <w:br/>
        <w:t>__________________________________________________________________________</w:t>
        <w:br/>
        <w:t>The Federal Cartel Office has discontinued the administrative proceedings initiated at the beginning of 2021 regarding the accession of KHG GmbH &amp; Co. KG (Krieger/Höffner Group; KHG), Schönefeld, to the furniture purchasing cooperative Bedarfsgüter Großhandelsgesellschaft für Wohnung GmbH (Begros), Oberhausen, after the parties made extensive changes to the originally planned project. The competitive concerns have thus been largely alleviated.</w:t>
      </w:r>
    </w:p>
    <w:p>
      <w:r>
        <w:t>1. Participants</w:t>
        <w:br/>
        <w:t>Begros is one of the leading furniture purchasing cooperatives in the country. Its 16 member companies are active throughout the entire federal territory and partially in neighboring countries. They predominantly belong to the larger furniture retail companies in the country, each operating multiple locations and generating revenues in the three-digit million range. The largest member company to date has been the Porta Group, which operates more than 20 large furniture stores. Through Begros, the member companies jointly procure a large part of their furniture assortment. A significant portion of this is accounted for by the private labels of Begros, particularly MONDO and Vito. In addition, Begros offers its member companies services in the areas of marketing, goods import, product development, central billing, and credit insurance, as well as master data development and database utilization.</w:t>
      </w:r>
    </w:p>
    <w:p>
      <w:r>
        <w:t>KHG is one of the leading furniture retail companies in the country and operates over 30 large furniture stores under the brands Höffner and Kraft and over 20 discount markets under the brand Sconto throughout the federal territory, as well as several online shops. KHG was previously not a member of any purchasing cooperative. The intended accession to the then-existing furniture purchasing cooperative VME Union GmbH was abandoned by the company after concerns were raised by the responsible decision division (File No. B1-229/18; see case report dated 18.10.2019).</w:t>
      </w:r>
    </w:p>
    <w:p>
      <w:r>
        <w:t>2. Structure and Development of the Furniture Retail Sector Domestically</w:t>
        <w:br/>
        <w:t>The majority of furniture retailers in Germany are affiliated with purchasing cooperatives such as Begros. In the industry, these are commonly referred to as (furniture) purchasing associations. Approximately 60 percent of the domestic sales volume in the furniture retail sector is accounted for by retailers affiliated with purchasing associations, taking into account KHG's accession to Begros. In addition to Begros, the following leading cooperatives should be mentioned:</w:t>
        <w:br/>
        <w:t>- GIGA International GmbH &amp; Co. KG,</w:t>
        <w:br/>
        <w:t>- Einrichtungspartnerring VME GmbH &amp; Co. KG, which cooperates with MHK Marketing Handel Kooperation GmbH &amp; Co. Verbundgruppen Holding KG,</w:t>
        <w:br/>
        <w:t>- Europa Möbel-Verbund GmbH &amp; Co. KG and GARANT Group, which collaborate within the purchasing association Einkaufsgesellschaft mittelständischer Möbel- und Küchenhändler GmbH &amp; Co. KG (EMMK),</w:t>
        <w:br/>
        <w:t>- Alliance Möbel Marketing GmbH &amp; Co. KG and its sister association DER KÜCHENRING GmbH &amp; Co. KG.</w:t>
        <w:br/>
        <w:t>Additionally, there is the DER KREIS Einkaufsgesellschaft für Küche &amp; Wohnen mbH, which specializes in the kitchen sector.</w:t>
      </w:r>
    </w:p>
    <w:p>
      <w:r>
        <w:t>In addition to the typically expected benefits related to conditions, the development of private labels is increasingly of interest to purchasing cooperatives. They also offer their member companies additional services to varying extents. In this way, particularly small and medium-sized furniture retailers are to be enabled to compete in the market against larger competitors. Purchasing cooperatives are generally permissible under antitrust law, but within certain limits (see below under 3.).</w:t>
      </w:r>
    </w:p>
    <w:p>
      <w:r>
        <w:t>In addition, there are (few) furniture retailers that do not belong to any purchasing cooperative but procure independently. This includes, on the one hand, particularly large, often internationally active companies such as IKEA and JYSK (formerly Dänisches Bettenlager). On the other hand, online retailers such as Otto, Wayfair, or Westwing typically do not belong to any purchasing cooperative. According to the investigations of the office, these two groups account for approximately 15 percent each of the domestic sales volume in the furniture retail sector. The remainder is accounted for by association-independent specialized retailers and non-industry providers such as DIY stores.</w:t>
      </w:r>
    </w:p>
    <w:p>
      <w:r>
        <w:t>In the domestic furniture retail sector, there has been an increasing concentration on both the procurement and sales sides in recent years. This also affects procurement through purchasing associations. For instance, five well-known furniture retail companies that were previously members of the purchasing association Union Einkaufs-GmbH joined Begros at the beginning of 2020. Following its dissolution, many of the remaining, often smaller Union members joined the purchasing association Einrichtungspartnerring VME, with which a merger had previously been planned. GIGA International recently expanded, among other things, by incorporating Roller and other companies from the Tessner Group, which had itself exited the purchasing association Union in connection with the merger with the XXXLutz Group. The Europa Möbel-Verbund entered into the aforementioned cooperation with the GARANT Group in mid-2019, and at the beginning of 2020, a large furniture retail company that had previously procured independently joined it with Segmüller. Since 2020, Alliance Möbel Marketing and the association DER KÜCHENRING, which was already cooperating with it, have been procuring together with the purchasing association KüchenTreff.</w:t>
      </w:r>
    </w:p>
    <w:p>
      <w:r>
        <w:t>At the same time, on the sales side, the merger "XXXLutz/Roller" (Ref. B1-195/19), which was approved by the Federal Cartel Office at the end of 2020 only with conditions, recently led to a significant increase in concentration in the affected markets. Previously, the XXXLutz Group had already acquired the nationwide operating furniture discounter POCO and had acquired stakes in the operators of large furniture stores Müllerland, Möbel Brügge, Möbel Buhl, and Dodenhof. Also in 2020, Segmüller acquired a majority stake in the regionally significant upholstery specialist chain Multipolster after the intended acquisition by KHG was abandoned due to concerns from the Federal Cartel Office. Furthermore, the Begros member Porta acquired Wohnplus with 8 locations in southern Germany through its discount subsidiary SB Möbel Boss in 2018, and KHG acquired the Finke Group with essentially 6 locations.</w:t>
      </w:r>
    </w:p>
    <w:p>
      <w:r>
        <w:t>3. Investigations and Competitive Assessment</w:t>
        <w:br/>
        <w:t xml:space="preserve">Purchasing cooperatives can have competition-restricting effects on both the affected procurement markets and downstream sales markets. However, according to the assessment of the responsible decision division, it is unlikely that purchasing cooperatives exhibit such competition-restricting effects if their market shares do not exceed 15 percent in the respective markets. This market share threshold is also established in the relevant guidelines of the EU Commission on horizontal cooperation. Above this threshold, all other market-relevant circumstances must be examined to determine whether a restriction of competition exists within the meaning of Art. 101 para. 1 TFEU. In addition to the market position of the participants and their relationship to each other, this includes particularly the structure of the affected markets and the market position of competitors (and here also the prevalence of other purchasing cooperatives). Relevant factors also include, among others, the potential countervailing power of the respective market counterpart, the design of procurement within the respective cooperative, as well as the scope and share of procurement through this cooperative. In the present case, </w:t>
        <w:br/>
        <w:t>1 Guidelines of the EU Commission on the applicability of Art. 101 TFEU to agreements on horizontal cooperation, OJ EU 2011 C 11/1, para. 208 et seq.</w:t>
      </w:r>
    </w:p>
    <w:p>
      <w:r>
        <w:rPr>
          <w:b/>
        </w:rPr>
        <w:t>[Pages 4–6]</w:t>
      </w:r>
    </w:p>
    <w:p>
      <w:r>
        <w:t>the parties presented to the competent decision division in order to address the competitive concerns described under 3. The first proposal for a geographically limited waiver of the use of Begros private labels by KHG was rejected by the competent decision division as insufficient. However, the decision division considered a geographically unlimited separation of Begros private labels between Porta and KHG into two groups (the so-called two-brand family model) to be suitable for extensively alleviating the competitive concerns. The Federal Cartel Office also sought further detailed changes here, and the parties have made supplementary agreements that suggest the effectiveness of the two-brand family model.</w:t>
      </w:r>
    </w:p>
    <w:p>
      <w:r>
        <w:t>The two-brand family model initially means that Porta and KHG will not be able to procure and carry the same Begros private labels for several years. For the other Begros member companies, however, there are no restrictions, meaning they can jointly procure and sell private labels with both Porta and KHG in the future. Furthermore, Begros may only procure and distribute so-called exclusive models under one or the other brand family. Exclusive models are characterized by features exclusively supplied by the respective manufacturer, such as certain functions (e.g., sleeping function in a sofa) or a specific type of upholstery (e.g., leather or fabric in upholstered furniture and chairs). The sufficient distinctiveness of the furniture pieces sold under the two brand families is ensured by internal procurement rules of Begros and supplementary agreements that have been presented to the office for review. Additionally, further investigations into the anticipated effects of the two-brand family model at several Begros member companies were conducted.</w:t>
      </w:r>
    </w:p>
    <w:p>
      <w:r>
        <w:t>Since private labels constitute a significant share of the assortment and revenue of Begros member companies, the two-brand family model significantly reduces the expected cost and assortment alignment resulting from KHG's accession. According to the assessment of the competent decision division, this is sufficient to reduce the competitive restrictive effect outlined under 3. to an unobjectionable level. Furthermore, the parties have committed that KHG will not disclose its previous conditions for procuring items from the basic furniture assortment to Begros or its members even after accession. The competent decision division then closed the proceedings in the exercise of its discretion.</w:t>
      </w:r>
    </w:p>
    <w:p>
      <w:r>
        <w:t>The Federal Cartel Office will continue to monitor the further developments in the procurement and sales markets of the domestic furniture trade even after the closure of the proceedings. Should Begros and KHG deviate significantly from the regulations in the future,</w:t>
      </w:r>
    </w:p>
    <w:p>
      <w:r>
        <w:rPr>
          <w:b/>
        </w:rPr>
        <w:t>[Pages 7–7]</w:t>
      </w:r>
    </w:p>
    <w:p>
      <w:r>
        <w:t>The basis for the discontinuation of the proceedings was, the Federal Cartel Office expressly reserves the right to initiate proceedings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