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https://www.bundeskartellamt.de/SharedDocs/Entscheidung/DE/Fallberichte/Fusionskontrolle/2018/B2-106-18.pdf?__blob=publicationFile&amp;v=2</w:t>
      </w:r>
    </w:p>
    <w:p>
      <w:r>
        <w:t>Pages translated : 7</w:t>
      </w:r>
    </w:p>
    <w:p/>
    <w:p>
      <w:r>
        <w:rPr>
          <w:b/>
        </w:rPr>
        <w:t>[Pages 1–3]</w:t>
      </w:r>
    </w:p>
    <w:p>
      <w:r>
        <w:t>1</w:t>
        <w:br/>
        <w:t>Case Report November 14, 2018</w:t>
        <w:br/>
        <w:t>Approval of the Merger between Karstadt and Kaufhof</w:t>
        <w:br/>
        <w:t>Industry: Retail</w:t>
        <w:br/>
        <w:t>File Number: B2 – 106/18</w:t>
        <w:br/>
        <w:t>Date of Approval: November 9, 2018</w:t>
        <w:br/>
        <w:t>Approval of the Merger between Karstadt and Kaufhof</w:t>
        <w:br/>
        <w:t>The Federal Cartel Office has approved the merger project between SIGNA Retail and its subsidiary Karstadt Warenhaus and the Hudson Bay Company (HBC) and its subsidiary GALERIA Kaufhof on November 9, 2018. SIGNA Retail and HBC are establishing a joint venture, in which SIGNA Retail will contribute 100% of the shares in Karstadt Warenhaus with its 79 branches as well as Karstadt Sports and Karstadt Marktplatz; HBC Europe will contribute 100% of the shares in GALERIA Kaufhof with its 98 branches as well as Saks Fifth Avenue OFF 5th Europe. According to the Federal Cartel Office, SIGNA acquires sole control over the joint venture, in which SIGNA will hold 50.01% and HBC the remaining 49.99% of the shares. SIGNA Retail is to take over the operational management. The joint venture has 243 locations in Europe and generates sales of approximately 5.4 billion euros.</w:t>
        <w:br/>
        <w:t>In a second, related transaction, Signa Real Estate will acquire 50% of the shares in Global Properties Luxembourg S.à r.l., which holds 57 properties in Germany that are leased to GALERIA Kaufhof or Saks Europe. HBC will retain the other 50% of the shares. SIGNA will acquire 100% of two properties previously held by HBS Global Properties.</w:t>
        <w:br/>
        <w:t>SIGNA and its subsidiaries are primarily active in the fields of real estate (SIGNA Real Estate) and retail (SIGNA Retail) and are controlled by the Benko Privatstiftung. The subsidiary Karstadt Warenhaus operates 79 department stores as well as an online shop. The department stores of Karstadt offer a wide range</w:t>
      </w:r>
    </w:p>
    <w:p>
      <w:r>
        <w:t>2</w:t>
        <w:br/>
        <w:t>of non-food items, including textiles, shoes, sports and outdoor, luggage, bags, backpacks, accessories, household goods, toys, perfumes &amp; cosmetics, watches &amp; jewelry, as well as office and stationery supplies. Karstadt Sports operates 29 specialty stores for sportswear and an online shop. The sales of SIGNA's trading activities amount to over 4.5 billion euros.</w:t>
        <w:br/>
        <w:t>HBC, based in Toronto, is a diversified retail company operating in the non-food retail sector in Canada, the USA, and Europe. In addition, HBC owns a number of commercial properties in the USA, North America, and Germany. HBC's worldwide sales amount to over 10 billion euros. Its subsidiary GALERIA Kaufhof, based in Cologne, operates 98 branches in Germany, selling a similar product portfolio as Karstadt Warenhaus. In addition, 16 branches of GALERIA Inno in Belgium, 15 HBC branches in the Netherlands, and six Saks OFF 5th stores in Germany will also be contributed to the joint venture.</w:t>
        <w:br/>
        <w:t>The merger project is subject to notification to the Federal Cartel Office because both SIGNA and HBC generate more than two-thirds of their annual turnover in the EU in Germany. After the 2nd Decision Division was informed about the project by phone in July 2018 and received a draft notification in August 2018, the parties notified the merger on October 9, 2018. This allowed the office to send out information requests with questionnaires to around 100 companies on the same day. Among these were the largest online retailers as well as the largest stationary retailers in the non-food retail sector and manufacturers from certain product groups.</w:t>
        <w:br/>
        <w:t>Market Definition and Market Structure</w:t>
        <w:br/>
        <w:t>In the area of real estate leasing, a significant hindrance to effective competition could be excluded without further investigations, particularly as the joint market shares, even with a narrow market definition, i.e., assuming local markets for the leasing of retail properties, remain well below the critical threshold of § 18 Abs. 4 GWB of 40%.</w:t>
        <w:br/>
        <w:t>In the area of non-food retail, Karstadt Warenhaus and GALERIA Kaufhof are the only remaining nationwide department store operators in a particularly close competitive relationship with each other. From a competitive perspective, however, there is no so-called department store market.</w:t>
      </w:r>
    </w:p>
    <w:p>
      <w:r>
        <w:t>3</w:t>
        <w:br/>
        <w:t>Rather, the Federal Cartel Office assumes retail markets for a range of product groups. In department stores, consumers have the opportunity to purchase products from various product groups during a single visit, but typically do so only to a very limited extent, as studies show. The Federal Cartel Office has delineated approximately 20 product groups. Of these, the office has examined several product groups in more detail because the market shares of the two parties are highest in these areas. These include luggage (suitcases/bags), clothing (women, men, children), sports/outdoor (clothing, shoes, equipment), games and toys, home textiles, as well as office and stationery supplies. The clothing sector was also analyzed in more detail.</w:t>
        <w:br/>
        <w:t>In view of the increasing importance of online trade, the question arose as to whether in the aforementioned product groups the distribution channels online trade and stationary trade can be attributed to one market. The investigations conducted made it clear that online trade is overall increasing significantly, but the importance of this distribution channel varies between product groups. According to the figures submitted by the applicants, the shares of online trade in the various product groups range from 9% in luggage to up to 25% in sports/outdoor. The investigations of the Federal Cartel Office indicate higher online shares in some product groups, even though no comprehensive surveys were conducted in this regard. The growth rates for online trade with goods have averaged over 10% in recent years, although they vary considerably between individual product groups. In the areas of clothing, laundry, sports/outdoor, and toys, the distribution channels are likely to have become more intertwined. For the other areas, the degree of merging is less pronounced.</w:t>
        <w:br/>
        <w:t>The development towards more online sales is reflected in the assessment of competitive pressure by the surveyed retailers. In all product groups, retailers are exposed to the highest competitive pressure on their store business from online marketplaces, and this pressure is expected to continue to increase in the coming years. Even in the area of travel luggage, retailers have indicated that the highest pressure comes from online specialty retailers and online marketplaces, although in this area online trade still plays a comparatively minor role in terms of sales share.</w:t>
      </w:r>
    </w:p>
    <w:p>
      <w:r>
        <w:rPr>
          <w:b/>
        </w:rPr>
        <w:t>[Pages 4–6]</w:t>
      </w:r>
    </w:p>
    <w:p>
      <w:r>
        <w:t>4</w:t>
        <w:br/>
        <w:t>Market Position of the Joint Venture and Effects of the Merger</w:t>
        <w:br/>
        <w:t>The result showed that the merger, even when considering only stationary sales, does not raise competitive concerns that would justify prohibiting the project. The scope of action for Kaufhof and Karstadt is limited in all product groups and regions by various other stationary competitors. The market shares of the two companies exceed 25% in only a few relevant product groups and regions.</w:t>
      </w:r>
    </w:p>
    <w:p>
      <w:r>
        <w:t>In addition to a nationwide analysis, spatial markets were considered as a starting point, which reflect the retail demand in an area of 30 km or 20 km around each individual location of a party or the catchment areas of a location corresponding to the postal code areas from which 85% of the respective sales originate. Since no market-product group combinations were identified, even with a variation of the spatial market formation (change of the included postal code areas, consolidation of locations, etc.), in which a significant hindrance to effective competition is to be expected, the exact spatial market delineation could ultimately be left open. The market position of the parties in purely stationary sales was particularly examined in specific product groups and in those cities or areas where there are overlaps between the locations of the parties. The approximate catchment area of each party's individual locations served as the starting point for calculating market shares. Where indicated, the catchment areas of the individual branches in the metropolitan area of a city and, if applicable, in adjacent cities were consolidated. Based on these alternative considerations and further findings regarding the affected cities and product groups, a significant hindrance to effective competition could be excluded without establishing a specific spatial market delineation. When considering the catchment areas of individual branches in isolation, the calculated market volume would also be below the de minimis market threshold in many cases.</w:t>
      </w:r>
    </w:p>
    <w:p>
      <w:r>
        <w:t>The highest joint market shares of Karstadt and Kaufhof (each referring to the calendar year 2017) are found in the metropolitan areas of Munich, Frankfurt am Main, Berlin, Düsseldorf, and Cologne/Bonn. They amounted for the luggage sector (suitcases/bags) concerning individual branches in Bad Homburg and Sulzbach (both metropolitan area of Frankfurt am Main), Hanover, Wiesbaden, Cologne, as well as Bonn and Brühl (both metropolitan area of Cologne) between 25% and 30% with merger-related increases between 2% and 15%. In Munich, Berlin, and Düsseldorf, the market shares concerning individual branches were 30% to 35%. In Frankfurt, the calculated market shares concerning individual branches were between 30% and 40%. When consolidating the catchment areas of the individual branches in the metropolitan area of a city and, if applicable, in adjacent cities, the joint market share of the parties in the metropolitan areas of Munich, Berlin, and Düsseldorf falls below 25% with an increase of under 10% and in the metropolitan area of Frankfurt am Main below 30% with an increase of 10%. Regarding all other catchment areas of the parties' branches, the market shares were below 25%.</w:t>
      </w:r>
    </w:p>
    <w:p>
      <w:r>
        <w:t>In the stationary trade of laundry (where a distinction must generally be made between men's, women's, and children's laundry), the joint market shares of the parties concerning individual branches in Berlin, Cologne, Brühl, and Wiesbaden were between 25% and 30%, and concerning a branch in Constance between 30% and 35%. In Munich, they achieved a market share concerning individual branches between 25% and 40% with an increase of 10% to 15%. When consolidating the catchment areas of the Munich branches of the parties, the market share of the parties in the metropolitan area of Munich is between 15% and 20%. In the other overlapping areas examined, the market shares were already below 25% concerning individual branches.</w:t>
      </w:r>
    </w:p>
    <w:p>
      <w:r>
        <w:t>In the stationary sale in the area of games/toys, the market shares concerning the catchment area of a branch in Munich were between 25% and 30% and for each branch in Cologne and Brühl between 30% and 35% with very low increases. Considering the metropolitan area of Cologne including Bonn, Siegburg, and Brühl, the market share of the parties in the metropolitan area of Cologne was only between 15% and 20% with an increase of under 5%. In the other overlapping areas, the market shares were already below 25% concerning the individual branches.</w:t>
      </w:r>
    </w:p>
    <w:p>
      <w:r>
        <w:t>In the stationary trade of office and stationery supplies, the market shares in the catchment areas of two branches in Munich were 25%-30% and 35%-40%, respectively. However, when consolidating the catchment areas of the Munich branches of the parties, the market share of the parties in the metropolitan area of Munich was only 10%-15%. In the other overlapping areas, the market shares were already below 25% concerning the individual branches.</w:t>
      </w:r>
    </w:p>
    <w:p>
      <w:r>
        <w:t>In the area of home textiles, the joint market share of the parties in all regional retail markets was already below 20% concerning individual branches. In sports and outdoor, the Federal Cartel Office further distinguishes between shoes, clothing, and equipment. Regarding the entire product group, the joint market share of the parties concerning individual branches in all regional retail markets was already below 20%, with market share increases also being low.</w:t>
      </w:r>
    </w:p>
    <w:p>
      <w:r>
        <w:t>In the procurement markets, the joint venture has a strong market position, particularly in the areas of luggage, laundry, and home textiles, as it is one of the largest individual customers for brand manufacturers. Nevertheless, the market shares of the parties are below the presumption of market dominance. The manufacturers have sufficient sales alternatives in the form of specialty retailers, both stationary and online. Furthermore, the survey of manufacturers revealed that they increasingly utilize the online sales channel to sell their products directly to the end consumer. Most of the surveyed manufacturers have their own online shop. In the area of luggage and laundry, manufacturers also have the opportunity to act directly as retailers by creating their own mono-stores.</w:t>
      </w:r>
    </w:p>
    <w:p>
      <w:r>
        <w:t>Some manufacturers have expressed concern that the parties may have significant purchasing power after the merger and could therefore demand improved conditions. The Federal Cartel Office will monitor this in relation to the tapping prohibition under §§ 20 Abs. 2, 19 Abs. 2 Nr. 5 GWB in accordance with the case law of the Federal Court of Justice.</w:t>
      </w:r>
    </w:p>
    <w:p>
      <w:r>
        <w:t>In the area of "Sports/Outdoor," Karstadt is a member of the purchasing cooperation Intersport, to which the purchasing volume of Kaufhof is now added due to the merger. The Federal Cartel Office reserves the right to examine this purchasing cooperation competitively after the merger under § 1 GWB, Art. 101 TFEU.</w:t>
      </w:r>
    </w:p>
    <w:p>
      <w:r>
        <w:t>Despite the close competitive relationship between Karstadt and Kaufhof and the stronger market position in individual product groups and regions, the Federal Cartel Office does not expect that the parties will gain uncontrolled scopes of action through the project. Rather, even after the merger, there remain sufficient significant competitors in both the stationary retail trade with the affected product groups and in online sales. Although this varies between individual product groups, the trend towards more online sales exerts strong competitive pressure on the branch business. In the procurement markets, the</w:t>
      </w:r>
    </w:p>
    <w:p>
      <w:r>
        <w:rPr>
          <w:b/>
        </w:rPr>
        <w:t>[Pages 7–7]</w:t>
      </w:r>
    </w:p>
    <w:p>
      <w:r>
        <w:t>7</w:t>
        <w:br/>
        <w:t>While the parties can strengthen their position, manufacturers have sufficient sales alternatives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