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http://www.bundeskartellamt.de/SharedDocs/Entscheidung/DE/Fallberichte/Fusionskontrolle/2017/B2-25-17.pdf;jsessionid=2AA3A985163C8A13826980E584B9F6FD.1_cid371?__blob=publicationFile&amp;v=2</w:t>
      </w:r>
    </w:p>
    <w:p>
      <w:r>
        <w:t>Pages translated : 3</w:t>
      </w:r>
    </w:p>
    <w:p/>
    <w:p>
      <w:r>
        <w:rPr>
          <w:b/>
        </w:rPr>
        <w:t>[Pages 1–3]</w:t>
      </w:r>
    </w:p>
    <w:p>
      <w:r>
        <w:t>1</w:t>
        <w:br/>
        <w:t>Case Report May 19, 2017</w:t>
        <w:br/>
        <w:t>Approval of a Purchasing Cooperation and a Joint Venture between</w:t>
        <w:br/>
        <w:t>EDEKA and Budnikowsky</w:t>
        <w:br/>
        <w:t>Industry: Retail Trade in Drugstore Goods</w:t>
        <w:br/>
        <w:t>File Number: B2 – 25/17</w:t>
        <w:br/>
        <w:t>Date of Approval: May 19, 2017</w:t>
        <w:br/>
        <w:t>The Federal Cartel Office has approved the planned joint venture between EDEKA and Budnikowsky within the one-month period and has also raised no objections to the establishment of a purchasing cooperation between the two companies. EDEKA is the largest grocery retail company in Germany with €49.6 billion in revenue. Budnikowsky is a drugstore company with 181 locations in the Hamburg metropolitan region and [475-490] million € in revenue; the majority – 112 – of the stores are located in the Hanseatic city itself. Budnikowsky will outsource, at the latest by next year, the business areas of procurement, IT, e-commerce, administration, and logistics into an independent company, in which EDEKA will initially hold a 25.1% stake. EDEKA and Budnikowsky have the right to appoint one of the managing directors of the joint venture each. Budnikowsky will no longer purchase food and drugstore goods itself but will source them through EDEKA Zentrale AG &amp; Co. KG. Joint purchasing is to begin later this year; prior to the establishment of the joint venture, this will occur through a purchasing cooperation. EDEKA intends to establish a nationwide chain of drugstore specialty stores; cooperation with Budnikowsky is intended to facilitate this.</w:t>
        <w:br/>
        <w:t>The operation of the drugstore branches is to remain solely the responsibility of the family-owned company Budnikowsky. However, in agreement with the applicants, the Federal Cartel Office concludes that EDEKA will also gain significant competitive influence over Budnikowsky. This is because, as a result of the transfer of all non-direct sales-related functions of Budnikowsky to the joint venture, EDEKA has significant influence over the Budnikowsky business beyond purchasing. These influence opportunities also have a sufficient corporate law basis, as they</w:t>
      </w:r>
    </w:p>
    <w:p>
      <w:r>
        <w:t>2</w:t>
        <w:br/>
        <w:t>are precisely obtained through the outsourcing of essential business sub-functions to the joint venture.</w:t>
        <w:br/>
        <w:t>Regarding the procurement side, the Federal Cartel Office generally evaluates three levels – the total procurement volume, the product group-specific volumes, and finally the product-specific volumes. In the present case, however, a more detailed examination was unnecessary, as even with a nationwide consideration, the combined market share for the entire range was below 15%, and Budnikowsky had only a very small share in it. Therefore, there were no indications of a competitively problematic buyer power.</w:t>
        <w:br/>
        <w:t>On the sales side, the Federal Cartel Office concludes that there is a relevant market for the retail trade in drugstore goods, the core of which consists of the products of the non-food I assortment. Since this assortment is not only offered by drugstore specialty companies but also to a comparable extent by companies in the grocery retail sector, these are also to be considered competitors in this market. This corresponds to the view of the leading drugstore specialty market operators and is reflected in the fact that the share of grocery retail companies in the total sales of drugstore goods is even slightly higher than that of drugstore specialty markets. The fact that, following the insolvency of the drugstore chain Schlecker, grocery retail was able to capture a large part of the sales previously attributed to Schlecker also supports this view. The lesser breadth and depth of the grocery retail offering was taken into account in the examination by assuming a tiered competitive relationship, in which drugstore specialty markets are in a close competitive relationship with each other, while grocery retail companies represent more distant competitors to drugstores. Spatially, the sales markets for drugstore goods are to be delineated regionally, in accordance with the practice of the Federal Cartel Office in grocery retail mergers. In addition to the resulting 345 market areas, in large cities with more than 500,000 inhabitants, the competitive structures in the individual city districts are also to be analyzed.</w:t>
        <w:br/>
        <w:t>In the present case, the more detailed examination of the sales markets could be limited to the area of the city of Hamburg, the main distribution area of Budnikowsky. The investigations revealed – across the seven city districts – a market share of Budnikowsky of [30-35%], while the market share of EDEKA amounted to [5-10%]. Thus, Budnikowsky is clearly the market leader, but does not hold a dominant market position and will not achieve one through the project. Rather, Budnikowsky has been facing increasing competition from the leading main competitors dm and Rossmann in the rest of the federal territory for several years, who have since been expanding in Hamburg with aggressive prices and an increasing number of locations, while Budnikowsky has experienced significant market share losses in recent years. In terms of their cost structure and procurement conditions, these two much larger main competitors have structural advantages that Budnikowsky cannot compensate for alone. The purchasing cooperation and the outsourcing of non-direct sales-related functional areas into the joint venture reduce these structural disadvantages of Budnikowsky and enable the company to sustainably participate in the intense competitive environment. However, they do not provide sufficient grounds for dm and Rossmann to reduce the intensity of competition. Mutual consideration between EDEKA and Budnikowsky is unlikely, as both companies do not stand in a close competitive relationship with each other but must focus on different main competitors. The investigations therefore conclude that the economic benefits that Budnikowsky, in particular, gains from the project will intensify competition, especially with dm and Rossmann, and thus also benefit the consumer.</w:t>
        <w:br/>
        <w:t>EDEKA's position in the procurement and sales markets of grocery retail is not significantly altered by the project. Budnikowsky's purchasing volume in the food sector is negligible, and with the limited food offering of a drugstore, Budnikowsky is not to be considered a competitor of EDEKA in grocery retail. EDEKA does not gain access to the store locations of Budnikowsky through the registered project.</w:t>
        <w:br/>
        <w:t>In light of the competitive pressure prevailing in the sales markets and the only distant competitive relationship between EDEKA and Budnikowsky, the investigations also conclude, within the framework of the antitrust examination of the project, that the economic benefits associated with the project will benefit the end consumers, so that there is currently no reason to assume that the project violates Art. 101 TFEU, § 1 GWB.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