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https://www.bundeskartellamt.de/SharedDocs/Entscheidung/DE/Fallberichte/Fusionskontrolle/2009/B2-29-09.pdf?__blob=publicationFile&amp;v=4</w:t>
      </w:r>
    </w:p>
    <w:p>
      <w:r>
        <w:t>Pages translated : 4</w:t>
      </w:r>
    </w:p>
    <w:p/>
    <w:p>
      <w:r>
        <w:rPr>
          <w:b/>
        </w:rPr>
        <w:t>[Pages 1–3]</w:t>
      </w:r>
    </w:p>
    <w:p>
      <w:r>
        <w:t xml:space="preserve">Case Report  </w:t>
        <w:br/>
        <w:t xml:space="preserve">Establishment of a Distribution Joint Venture by Humana Milchindustrie GmbH, Everswinkel, and Nordmilch AG, Bremen;  </w:t>
        <w:br/>
        <w:t xml:space="preserve">Industry: Dairy  </w:t>
        <w:br/>
        <w:t xml:space="preserve">File Number: B2 – 29/09  </w:t>
        <w:br/>
        <w:t>Date of Decision: February 9, 2009</w:t>
      </w:r>
    </w:p>
    <w:p>
      <w:r>
        <w:t>1. The Federal Cartel Office has approved the establishment of a joint venture by Humana Milchindustrie GmbH, Everswinkel, and Nordmilch AG, Bremen, without any conditions.</w:t>
      </w:r>
    </w:p>
    <w:p>
      <w:r>
        <w:t>2. The joint venture is intended to take over the joint distribution of a significant portion of their products. It is planned that Humana and Nordmilch will each hold a 50% share in the joint venture and jointly control it. The previously established Nord Contor GmbH by Humana is to serve as the joint venture.</w:t>
      </w:r>
    </w:p>
    <w:p>
      <w:r>
        <w:t>3. Both the German Farmers' Association and the Federal Association of German Dairy Farmers were invited to the proceedings at their request to represent the interests of the milk suppliers.</w:t>
      </w:r>
    </w:p>
    <w:p>
      <w:r>
        <w:t>4. The project concerns, on the one hand, the nationwide sales markets for a range of dairy products (including fresh milk, sour cream products, fresh cheese, quark, butter, sliced cheese), and on the other hand, several regionally delineated procurement markets for raw milk. To determine the market conditions, the Federal Cartel Office contacted a large number of competitors as well as the leading companies in the retail grocery sector with extensive information requests.</w:t>
      </w:r>
    </w:p>
    <w:p>
      <w:r>
        <w:t>5. After the companies involved in the merger submitted market data for 25 product groups regarding the sales side and the Federal Cartel Office verified their plausibility, further investigations could initially be concentrated on a few product groups. It was found that competitive concerns could not be ruled out from the outset only in the market for quark products.</w:t>
      </w:r>
    </w:p>
    <w:p>
      <w:r>
        <w:t>6. Based on the investigations conducted, the Federal Cartel Office has delineated a market encompassing all quark products (plain quark, spiced quark, quark preparations) for the production and distribution of quark. This delineation is based on the consideration that, although from the perspective of the relevant consumer the different varieties are not interchangeable in terms of taste, they are so-called milk-based products that consumers regularly consume in all variants. Additionally, there is a high degree of production conversion flexibility on the part of the manufacturers, which allows them to produce other varieties at short notice and without significant financial expenditure.</w:t>
      </w:r>
    </w:p>
    <w:p>
      <w:r>
        <w:t>7. In this market for the production and distribution of quark, the market shares of the parties involved after the merger are approximately at the level of the presumption of market dominance of 33.3% and thus significantly above the market shares of competitors. Nevertheless, it is not expected that the merger will establish or strengthen a dominant market position.</w:t>
      </w:r>
    </w:p>
    <w:p>
      <w:r>
        <w:t>8. In the case of quark—as well as in the predominantly affected product range of the parties involved—it concerns so-called milk-based products that are produced or distributed by a multitude of dairies. Competitors in Germany include companies such as the Campina/Friesland Group, Ehrmann, and Danone.</w:t>
      </w:r>
    </w:p>
    <w:p>
      <w:r>
        <w:t>9. The dairy structure in Germany will remain diverse even after the present merger. In addition to smaller and larger cooperatively organized dairies, there are also numerous private dairies that together cover a diverse product range—particularly the relevant assortment in this case. Therefore, all purchasers of dairy products will continue to have sufficient alternative options, preventing an uncontrollable scope of behavior by the parties involved in the merger.</w:t>
      </w:r>
    </w:p>
    <w:p>
      <w:r>
        <w:t>10. Furthermore, Humana and Nordmilch face a highly concentrated and financially strong market counterpart in the retail grocery sector. Especially for products that are not "pre-sold" due to their strong brand presence, the retail grocery sector has a sufficiently high competitive potential to prevent an uncontrollable scope of behavior by the parties involved.</w:t>
      </w:r>
    </w:p>
    <w:p>
      <w:r>
        <w:t>11. The merger will also not lead to the creation or strengthening of a dominant market position in the raw milk procurement markets. However, the limitation of the tasks of the joint venture is not decisive for this. In particular, the procurement of raw milk is to continue to be carried out separately by both companies even after the implementation of the merger project. Additionally, Humana and Nordmilch will continue to independently decide on the conclusion or non-conclusion of raw milk supply contracts and thus on the strategic direction of the respective procurement areas and the management of the respective raw milk procurement volumes. Despite these limitations, the merger project will also have a direct impact on the procurement markets for raw milk. It is expected that the joint marketing of sales activities will lead to the alignment of the previously different payment prices for raw milk from Humana and Nordmilch, and furthermore, the previously not very pronounced competitive activities in the area of raw milk procurement between Humana and Nordmilch will be further dampened.</w:t>
      </w:r>
    </w:p>
    <w:p>
      <w:r>
        <w:t>12. For the assessment of the competitive effects on the procurement markets, it is crucial that milk suppliers in all regional markets affected by the project have a number of other dairies available to which they can sell their raw milk. Even if a switch is currently only possible under difficult conditions, this alone could not constitute a reason for prohibition. The merger is not causally related to the current saturation of milk demand and does not lead to a further deterioration of this situation.</w:t>
      </w:r>
    </w:p>
    <w:p>
      <w:r>
        <w:t>13. According to the Federal Cartel Office, it is also not expected that the parties involved in the merger will be enabled through the joint marketing of the sales side to pay their milk suppliers such a high milk price that the dairies named as competitors would lose their raw material base and be forced to exit the market.</w:t>
      </w:r>
    </w:p>
    <w:p>
      <w:r>
        <w:rPr>
          <w:b/>
        </w:rPr>
        <w:t>[Pages 4–4]</w:t>
      </w:r>
    </w:p>
    <w:p>
      <w:r>
        <w:t>14. The present merger project differs from other merger projects in the dairy sector that have been examined in the past. Although these involved significantly smaller markets (both in terms of product and geographic scope), sufficient alternative options for the market counterpart could not always be determined in individual cases. Therefore, some projects were ultimately prohibited. In the future, the Federal Cartel Office will thus examine the specific alternative options of the respective market counterpart, regardless of the size of the companies involved in the merger, in order to prevent negative effects on competition in the affected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