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http://www.bundeskartellamt.de:80/SharedDocs/Entscheidung/DE/Fallberichte/Kartellverbot/2017/B2-31-17.pdf;jsessionid=F3AEEFF904441B738909501E63D2129D.2_cid362?__blob=publicationFile&amp;v=1</w:t>
      </w:r>
    </w:p>
    <w:p>
      <w:r>
        <w:t>Pages translated : 5</w:t>
      </w:r>
    </w:p>
    <w:p/>
    <w:p>
      <w:r>
        <w:rPr>
          <w:b/>
        </w:rPr>
        <w:t>[Pages 1–3]</w:t>
      </w:r>
    </w:p>
    <w:p>
      <w:r>
        <w:t>1</w:t>
        <w:br/>
        <w:t>Case Report November 29, 2017</w:t>
        <w:br/>
        <w:t>Antitrust Review in Connection with the Withdrawal of Complaints Against the Ministerial Approval Edeka/Tengelmann</w:t>
        <w:br/>
        <w:t>Industry: Grocery Retail</w:t>
        <w:br/>
        <w:t>File Number: B2 - 31/17</w:t>
        <w:br/>
        <w:t>Date of Decision: November 16, 2017</w:t>
        <w:br/>
        <w:t>The Federal Cartel Office has discontinued proceedings due to potential antitrust violations in connection with the withdrawal of complaints against the ministerial approval Edeka/Tengelmann.</w:t>
      </w:r>
    </w:p>
    <w:p>
      <w:r>
        <w:t>I. Background/Fact Situation</w:t>
        <w:br/>
        <w:t>In October 2014, Edeka and Kaiser’s Tengelmann (hereinafter: KT) notified the Federal Cartel Office of the sale of the KT branch network in Berlin, the Munich metropolitan area, and North Rhine-Westphalia (hereinafter NRW). In spring 2015, the Federal Cartel Office prohibited the project (File Number B2-96/14) because there was a significant threat of hindering effective competition in numerous (particularly urban) regional markets. Subsequently, the parties involved in the merger applied for a ministerial approval from the Federal Minister for Economic Affairs and Energy at the end of April 2015, which was granted in March 2016 under labor and collective bargaining law conditions (I B 2 - 2208 50/01). Markant, NORMA, and REWE, which were involved in the ministerial approval process, filed a complaint with the Düsseldorf Higher Regional Court (OLG) against the ministerial approval. In July 2016, the OLG Düsseldorf suspended the ministerial approval in a preliminary injunction procedure (VI - Kart 3/16) and ordered the suspensive effect of the complaints. A significant factor in the decision was the concern regarding the bias of the Federal Minister for Economic Affairs and Energy. Both the Federal Minister of Economics and Edeka and KT filed a non-admission complaint with the Federal Court of Justice against this decision of the OLG (KVR 38/16).</w:t>
      </w:r>
    </w:p>
    <w:p>
      <w:r>
        <w:t>Before a decision on the merits could be made, Markant and NORMA were persuaded through negotiations in October 2016 to withdraw their legal remedies against the decision of the Federal Minister of Economics. Finally, in October and November 2016, conciliation talks took place between the complainant REWE and Edeka, which concluded with the result that REWE could also be persuaded to withdraw the complaint at the Düsseldorf Higher Regional Court by transferring KT branches.</w:t>
      </w:r>
    </w:p>
    <w:p>
      <w:r>
        <w:t>II. Legal Assessment</w:t>
        <w:br/>
        <w:t>Following the agreement, the Federal Cartel Office examined whether the agreements concluded in connection with the withdrawal of complaints between the complainants REWE, Markant, and NORMA and the companies involved in the merger violated § 1 GWB or Art. 101 TFEU. The corresponding bilateral settlement agreements were examined. As a result, no violations of antitrust law could be determined.</w:t>
      </w:r>
    </w:p>
    <w:p>
      <w:r>
        <w:t>1. Markant</w:t>
        <w:br/>
        <w:t>Markant contractually committed to withdrawing all legal remedies raised against the ministerial approval and received in return a financial compensation to offset all disadvantages arising from the termination of the business relationship (particularly competitive and condition-related disadvantages). According to the Federal Cartel Office, this out-of-court settlement does not constitute a cartel agreement within the meaning of § 1 GWB/Art. 101 TFEU. While it is inherent in the nature of the settlement that resolves the remaining legal uncertainty that the freedom of action of the parties is restricted, the corresponding settlement agreements do not contain any restrictions that go beyond what is necessary to end the legal disputes and/or do not exhibit any points of reference in terms of agreements on one or more competition-relevant action parameters. In this respect, this constellation does not correspond to the typically antitrust-violating "buying off competition," characterized by market exit in exchange for a compensatory payment. Such a "rewarded waiver" of an otherwise existing market position underlies the "pay-for-delay" cases, in which patent holders in the pharmaceutical industry pay generics manufacturers premiums if they refrain from entering the market or at least delay such entry.</w:t>
      </w:r>
    </w:p>
    <w:p>
      <w:r>
        <w:t>However, such a market exit does not exist here – concerning Markant – as the market exit of a member of Markant – Kaiser’s Tengelmann – was not the subject of the agreement made with Markant, but rather of the merger control procedure concluded with a prohibition and the subsequent ministerial approval procedure. Furthermore, Markant had no legal means to prevent the exit of Kaiser’s Tengelmann. Against this background, Markant committed itself in the settlement to a specific procedural conduct, but not to a specific market conduct. The settlement only regulated its behavior as a party to the proceedings, not its behavior as a provider. There were also no indications that the settlement, as in the aforementioned "pay for delay" cases, was used merely as a vehicle for an already planned coordination of mutual market behavior.</w:t>
      </w:r>
    </w:p>
    <w:p>
      <w:r>
        <w:t>Thus, the settlement with Markant could not even come close to a violation of the antitrust prohibition. The fact that Markant might have had the opportunity to bring down the ministerial approval by adhering to the complaint and thereby achieve competitive effects does not change this: The market effects of the ministerial approval were solely based on the application of the parties involved in the merger and the behavior of the minister; they were not transformed into market behavior of Markant in the sense of the antitrust prohibition by the purely legal (possible) power of prevention of Markant. Just as little could be expected of Markant to challenge the ministerial approval, it was equally not obliged under antitrust law to adhere to its complaint and refrain from a settlement conclusion that was advantageous to it.</w:t>
      </w:r>
    </w:p>
    <w:p>
      <w:r>
        <w:t>2. NORMA</w:t>
        <w:br/>
        <w:t>Regarding the agreements concluded between Edeka and the complainant Norma, the case was only different in that Norma was a competitor of EDEKA and, in compensation for the withdrawal of legal remedies, received not only financial compensation but also a total of 11 former Netto branches. However, for her, the settlement also only pertained – for the same reasons as with Markant – to her procedural conduct and not her market conduct. The transfer of the branches and the associated structural change were examined under merger control law and were approved due to the associated pro-competitive effects for the market (transfer of branches from the market leader Edeka to the significantly smaller Norma) (B2-38/17).</w:t>
      </w:r>
    </w:p>
    <w:p>
      <w:r>
        <w:t>Furthermore, Norma had Edeka assure her a rent subsidy for the transferred markets. Since this rent subsidy was linked to the sales development of the markets, the parties agreed on an annual branch-related sales report from Norma to Edeka. The Federal Cartel Office communicated its antitrust concerns regarding this aspect of the agreement to the parties, as such information transfer would allow Edeka to gain knowledge of the development of these markets and thus respond accordingly in competition, which would constitute a violation of the protectable secret competition. Subsequently, the parties found an amicable solution regarding the rent structure that addressed the Office's concerns and prevented information exchange.</w:t>
      </w:r>
    </w:p>
    <w:p>
      <w:r>
        <w:rPr>
          <w:b/>
        </w:rPr>
        <w:t>[Pages 4–5]</w:t>
      </w:r>
    </w:p>
    <w:p>
      <w:r>
        <w:t>4</w:t>
        <w:br/>
        <w:t>3. REWE</w:t>
      </w:r>
    </w:p>
    <w:p>
      <w:r>
        <w:t>The similarly structured agreement between Edeka and Rewe regarding the withdrawal of the complaint also attracted significant public attention. In exchange for waiving all legal remedies, Edeka ultimately transferred 63 branches in Berlin, two branches each in North Rhine-Westphalia and the Munich metropolitan area, as well as a meat processing plant and the back-office services operated by K-LOG to Rewe. The settlement concerning REWE also pertained to their litigation conduct.</w:t>
      </w:r>
    </w:p>
    <w:p>
      <w:r>
        <w:t>An indicative assessment by the Federal Cartel Office, which the parties had requested, was taken into account. The Federal Cartel Office had informed the parties, based on current figures, that the acquisition of Kaiser’s Tengelmann branches in Munich was significantly more problematic due to Rewe's already strong position there than it would be in Berlin. As far as corresponding data was available, preliminary assessments corresponded to the usual practice of the Federal Cartel Office in the lead-up to more complex merger projects.</w:t>
      </w:r>
    </w:p>
    <w:p>
      <w:r>
        <w:t>The agreed transfer of branches was then examined under merger control law (B2-139/16, Press Release of 08.12.2016 – REWE is allowed to acquire 67 locations from Edeka). Unlike the branch acquisition by Norma, which is not among the top group in German grocery retail, it was not assumed from the outset that the acquisition by Rewe would have merger-related pro-competitive effects. However, the Federal Cartel Office was able to quickly assess the effects on the individual market areas based on the data already collected, allowing the merger to be approved swiftly. In 13 out of a total of 15 market areas affected by the merger – predominantly located in Berlin – Rewe held market shares below 25% after the merger, and in the remaining two Berlin districts of Lichtenberg and Marzahn-Hellersdorf, below 30%. There were also no merger control concerns regarding the transfer of the Perwenitz meat processing plant and the back-office services to Rewe (B2-140/16). The Federal Cartel Office found no indications that REWE and EDEKA had made anti-competitive agreements or arrangements regarding their respective market behavior beyond the sale of branches.</w:t>
      </w:r>
    </w:p>
    <w:p>
      <w:r>
        <w:t>5</w:t>
        <w:br/>
        <w:t>III. Conclusion</w:t>
      </w:r>
    </w:p>
    <w:p>
      <w:r>
        <w:t>With regard to both cases of branch transfers – Norma and Rewe – the Federal Cartel Office sees no violation of § 1 GWB in the underlying agreement between the parties. The agreement reached results in a one-time structural change, which was consequently subject to merger control. According to the knowledge of the Federal Cartel Office, the agreement reached is not associated with any recognizable permanent changes in behavior or corresponding incentives for a specific behavior. The parties remain free to open, close, or undertake other competitive actions (branch renovations, promotional policies, assortment policies, etc.) in the affected market areas.</w:t>
      </w:r>
    </w:p>
    <w:p>
      <w:r>
        <w:t>In this context, it was appropriate to subject the agreement reached as a result of the negotiations solely to structural control. Its potentially anti-competitive effects would have had to be identified and possibly prohibited within this framework. The mere understanding between the parties regarding the division of branches, however, does not meet the requirements that the law imposes on a restriction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