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https://www.bundeskartellamt.de/SharedDocs/Entscheidung/DE/Fallberichte/Fusionskontrolle/2019/B2-55-19.pdf?__blob=publicationFile&amp;amp;v=3</w:t>
      </w:r>
    </w:p>
    <w:p>
      <w:r>
        <w:t>Pages translated : 3</w:t>
      </w:r>
    </w:p>
    <w:p/>
    <w:p>
      <w:r>
        <w:rPr>
          <w:b/>
        </w:rPr>
        <w:t>[Pages 1–3]</w:t>
      </w:r>
    </w:p>
    <w:p>
      <w:r>
        <w:t>1</w:t>
        <w:br/>
        <w:t>Case Report July 1, 2019</w:t>
        <w:br/>
        <w:t>Approval of the planned acquisition of Handelshof by EDEKA</w:t>
        <w:br/>
        <w:t>Industry: Food Wholesale</w:t>
        <w:br/>
        <w:t>File Number: B2 – 55/19</w:t>
        <w:br/>
        <w:t>Date of Approval: July 1, 2019</w:t>
        <w:br/>
        <w:t>The Federal Cartel Office has approved the planned acquisition of the Handelshof Group ("Handelshof") by EDEKA Foodservice Stiftung &amp; Co. KG ("EDEKA") after intensive investigations in the one-month so-called first phase of the merger control procedure. The merger concerned the markets for wholesale food and goods in the so-called Non-Food-I sector (drugstore items, etc.). The investigations revealed that the merger does not lead to a significant impediment to effective competition.</w:t>
        <w:br/>
        <w:t>The Handelshof Group operates 16 cash-and-carry wholesale markets in North Rhine-Westphalia, Lower Saxony, and Mecklenburg-Western Pomerania and is also active in delivery wholesale. In cash-and-carry wholesale, also known as pick-up or self-service wholesale, the customer assembles their goods in the wholesale market, pays on-site, and organizes the transport of the goods themselves. In contrast, in delivery wholesale, the goods are assembled by the dealer according to the order and the wishes of the customers and delivered to them. Handelshof generated sales of over €600 million with its 16 cash-and-carry markets in 2018.</w:t>
        <w:br/>
        <w:t>The EDEKA Group is primarily active in food wholesale – both delivery and pick-up wholesale – through EDEKA Foodservice. Its locations extend across the entire federal territory, except for the northern part of Germany.</w:t>
        <w:br/>
        <w:t>To assess the competitive effects of the merger, the Federal Cartel Office conducted over 100 surveys of competitors and customers of the merger parties, as well as associations and cooperative organizations of wholesalers. For the competitive assessment, the Federal Cartel Office based its analysis on a unified market for pick-up and delivery wholesale. The previously practiced assumption of separate markets for pick-up and delivery wholesale in the EDEKA/Ratio case (B2-125/10) has been abandoned. This decision takes into account the market developments that have occurred in the meantime, as determined by the investigations:</w:t>
        <w:br/>
        <w:t>● The customer survey revealed that the willingness to switch to delivery wholesale is now high. Additionally, the responses from competitors indicated that delivery wholesale exerts strong competitive pressure on cash-and-carry wholesale.</w:t>
        <w:br/>
        <w:t>● The minimum conditions for delivery by wholesale have now become so low that they no longer represent a barrier to entry for the key customer groups. The breadth and depth of the product range are also comparable.</w:t>
        <w:br/>
        <w:t>● Delivery wholesale has gained increasing importance for customers and has experienced strong growth in recent years, while cash-and-carry wholesale has stagnated or is losing significance. There are essentially three main reasons for this: First, delivery wholesale saves customers time, as the assembly of goods and transport are shifted to the wholesaler. Second, during the transport period, the responsibility for compliance with hygiene requirements and the cold chain is transferred to the wholesaler and their fleet. Finally, advancing digitalization allows for quick and smooth processing.</w:t>
        <w:br/>
        <w:t>In terms of geography, the Federal Cartel Office has delineated this unified market for food wholesale regionally with a radius of 75 km or alternatively 100 km around the acquired locations; whether the markets could be defined even more broadly did not require a decision. The investigations focused on the regional markets of Bielefeld and Detmold as well as Arnsberg and Hamm.</w:t>
        <w:br/>
        <w:t>In the markets thus delineated, EDEKA and Handelshof together achieve a market share of 30% - 35% in the market area of Bielefeld and Detmold. They are therefore the strongest provider in these markets, where, however, alongside nationwide providers such as Transgourmet, Metro, and Chefs Culinar, numerous regional and local competitors are also active. In all other market areas, the project did not raise any competitive concerns in the extended substantive market definition for the food wholesale market.</w:t>
      </w:r>
    </w:p>
    <w:p>
      <w:r>
        <w:t>2</w:t>
        <w:br/>
        <w:t>Also in the procurement markets – in the relationship of the dealers to their suppliers – the Federal Cartel Office believes that the acquisition of Handelshof by EDEKA does not lead to a significant impediment to effective competition. The Federal Cartel Office initially considers different product groups on the procurement side. In the present case, a more detailed analysis of the individual procurement markets was not necessary, as the project was already classified as unproblematic based on an overarching overall assessment. When separately considering procurement for food wholesale, EDEKA would have no strong market position with a share of around 15% after the merger with Handelshof. However, EDEKA has a strong position in procurement for food retail with a share of 25% - 30%. Since the procurement conditions for food wholesale and retail are negotiated jointly, there is much to suggest that the assessment of positions in the procurement markets should not differentiate between the two. In this consideration, the share procured by EDEKA would be significantly over 20%. Although the procurement volume of EDEKA is increased by the merger with Handelshof, the increase is significantly below 0.5% (relative to the total procurement volume of the German food trade in Food and Non-Food I), which is so low that it does not have a competitively significant impact on EDEKA's market position in procurement.</w:t>
        <w:br/>
        <w:t>This assessment is consistent with the previous decision-making practice of the Federal Cartel Office regarding competitive conditions in the procurement markets of the food trade. In the REWE/Coop case (B2-51/16), the Federal Cartel Office denied a significant impediment to effective competition, as the independent procurement volume of Coop accounted for only under 0.5% of the total procurement volume of the German food retail trade. The procurement volume that EDEKA is gaining now also remains significantly below the increase that was classified as critical in the EDEKA/Kaiser’s Tengelmann case (B2-96/14). Furthermore, Handelshof did not have a significance comparable to Kaiser’s Tengelmann for the continued existence of a medium-sized purchasing cooperation or as an alternative for suppliers' market access – which would regularly represent a more significant sales alternative for full-range companies in food retail.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