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https://www.bundeskartellamt.de/SharedDocs/Entscheidung/DE/Entscheidungen/Kartellverbot/2009/B2-90-01-1.pdf;jsessionid=F54AC13A44334FDE86CF9FF1124B415D.1_cid389?__blob=publicationFile&amp;v=6</w:t>
      </w:r>
    </w:p>
    <w:p>
      <w:r>
        <w:t>Pages translated : 13</w:t>
      </w:r>
    </w:p>
    <w:p/>
    <w:p>
      <w:r>
        <w:rPr>
          <w:b/>
        </w:rPr>
        <w:t>[Pages 1–3]</w:t>
      </w:r>
    </w:p>
    <w:p>
      <w:r>
        <w:t>For publication</w:t>
        <w:br/>
        <w:t>Federal Cartel Office</w:t>
        <w:br/>
        <w:t>2nd Decision Division</w:t>
        <w:br/>
        <w:t>B 2 – 90/01-1</w:t>
        <w:br/>
        <w:t>Decision</w:t>
        <w:br/>
        <w:t>In the administrative procedure</w:t>
        <w:br/>
        <w:t>1. Free State of Thuringia</w:t>
        <w:br/>
        <w:t>represented by the</w:t>
        <w:br/>
        <w:t>Thuringian Ministry of Agriculture, Nature Conservation and Environment</w:t>
        <w:br/>
        <w:t>Beethovenstraße 3,</w:t>
        <w:br/>
        <w:t>99096 Erfurt</w:t>
        <w:br/>
        <w:t>- Participant -</w:t>
        <w:br/>
        <w:t>[ ... ]</w:t>
        <w:br/>
        <w:t>regarding the violation of § 1 of the Act against Restraints of Competition (GWB) and Art. 81 of the Treaty establishing the European Community (EC) by Participant 1.</w:t>
        <w:br/>
        <w:t>the 2nd Decision Division of the Federal Cartel Office has decided on September 17, 2009, in accordance with § 32 b GWB:</w:t>
        <w:br/>
        <w:t>1. The obligations offered by Participant 1 in the letter dated July 31, 2009, as reproduced under Section II. of this decision, are binding for Participant 1.</w:t>
        <w:br/>
        <w:t>2. The proceedings against Participant 1 are terminated in accordance with § 32 b paragraph 1 sentence 2 GWB.</w:t>
        <w:br/>
        <w:t>3. The fee for this procedure, including this decision, is set at [ ... ] EUR and imposed on Participant 1.</w:t>
        <w:br/>
        <w:t>Reasons:</w:t>
        <w:br/>
        <w:t>I. Facts</w:t>
        <w:br/>
        <w:t>Participant 1 manages approximately 198,000 hectares of state forest as the highest forestry authority of the Free State of Thuringia, either directly or through local forestry offices, accounting for about 38% of the state forest area. The raw timber harvest from the forest area owned by the state amounted to approximately 2.7 million solid cubic meters (hereinafter: fm) in 2007, which was over 60% of the total timber harvest. Furthermore, Participant 1 engages in the marketing of timber for private and municipal forest owners on a contractual basis and for a fee. In doing so, he consolidates the raw timber quantities available for marketing from state, private, and corporate forests into a single offer and sells them to wood-processing buyers such as sawmills, the paper industry, bioenergy plants, and others. The comprehensive bundling of the timber quantities available for marketing within the jurisdiction, under the active moderation of Participant 1, enables him to influence the market activities comprehensively both in terms of demand coverage (quantity) and pricing. Not least, Participant 1 has a statewide organization and personnel infrastructure that small and micro forest owners rely on due to insufficient marketing knowledge. The Federal Cartel Office is not aware of any state cooperation by Participant 1 with other federal states in timber marketing. Rather, the restriction of cooperative marketing offers to the jurisdiction of a federal state (here, that of Participant 1) is known to be standard practice in all federal states with state forest ownership.</w:t>
        <w:br/>
        <w:t>In a letter dated October 10, 2001, to the Federal Cartel Office, Participant 2 challenged the timber marketing described above in Thuringia and other federal states, stating that the bundling of the harvested raw timber quantities for marketing to the further processing sawmills leads to a standardization of the sale prices and conditions for the vast majority of the timber quantities available for sale. This forces buyers to conduct price and sales negotiations almost exclusively with the representatives of the respective state forestry administration. The few remaining timber suppliers not marketing through the state forestry administration also orient themselves to the price guidelines of the state forestry administration. Thus, competition among suppliers is nearly completely excluded.</w:t>
        <w:br/>
        <w:t>The Federal Cartel Office initially initiated a general investigation procedure due to the suspicion of the formation of an unlawful distribution cartel under § 1 GWB and Art. 81 EC and, in a letter dated November 6, 2001, requested the then Federal Ministry of Consumer Protection, Food and Agriculture (BMVEL) to work towards changing this practice within the framework of federal-state coordination. In a letter dated December 12, 2002, the BMVEL referred to the exclusive responsibility of the states in the distribution of raw timber.</w:t>
        <w:br/>
        <w:t>Subsequently, the Federal Cartel Office opened a prohibition procedure – initially against the most significant timber marketing states, Baden-Württemberg, Bavaria, North Rhine-Westphalia, Thuringia, and Rhineland-Palatinate – and issued information decisions on March 19, 2003, to the mentioned states, their municipal associations, private forest owners, and wood-processing companies regarding timber marketing practices. The results supported the suspicion of a cartel law violation in timber marketing, which was associated with the bundling of sales quantities from state and non-state providers and significantly restricted supplier competition.</w:t>
        <w:br/>
        <w:t>The proceedings against the Free State of Bavaria were subsequently terminated because the Bavarian State Forests AöR, as a state forestry enterprise, markets its timber exclusively on its own and outside any cooperation with non-state forest owners.</w:t>
        <w:br/>
        <w:t>Following this, the Federal Cartel Office held several discussions with representatives of Participant 1, who at the time also chaired the Conference of Forestry Chiefs of the States, to encourage a change in marketing practices. In a meeting on July 19, 2004, Participant 1 – also on behalf of the other federal states involved in the proceedings – presented a joint position paper to clarify future marketing practices in order to address the concerns of the Federal Cartel Office. The Federal Cartel Office then sent a clarifying letter to Participant 1 on December 23, 2004, which further specified the cartel-compliant principles of the future marketing practices of the federal states involved in the proceedings (hereinafter: Specification Paper).</w:t>
        <w:br/>
        <w:t>In essence, the Specification Paper presents the anti-competitive practice of timber marketing, the concerns of the Federal Cartel Office based on it, and the commitments to be undertaken by the federal states involved in the proceedings, with which the anti-competitive practice of timber marketing in the participating federal states will be eliminated and structured in compliance with cartel law in the future.</w:t>
        <w:br/>
        <w:t>[ ... ]</w:t>
        <w:br/>
        <w:t>In discussions with the federal states involved in the proceedings, the Specification Paper and the catalog of commitments contained therein for future cartel-compliant marketing practices were further developed and accepted by the participating federal states and the Federal Cartel Office as the basis for a decision under § 32 b GWB as of April 16, 2007.</w:t>
        <w:br/>
        <w:t>The Conference of Forestry Chiefs on April 26/27, 2007, passed the following resolution:</w:t>
        <w:br/>
        <w:t>“The Conference of Forestry Chiefs welcomes, after thorough discussion and deliberation, the coordinated Specification Paper as an acceptable solution for the amicable termination of the currently ongoing proceedings against Baden-Württemberg, North Rhine-Westphalia, Rhineland-Palatinate, and Thuringia. The decision to adopt the result is to be made individually by each federal state.”</w:t>
      </w:r>
    </w:p>
    <w:p>
      <w:r>
        <w:rPr>
          <w:b/>
        </w:rPr>
        <w:t>[Pages 4–6]</w:t>
      </w:r>
    </w:p>
    <w:p>
      <w:r>
        <w:t>- 4 -</w:t>
        <w:br/>
        <w:t>II.</w:t>
        <w:br/>
        <w:t>The Commitments</w:t>
        <w:br/>
        <w:t>Participant 1 has submitted a signed copy of the specification paper to the Federal Cartel Office by letter dated May 7, 2007, signed on May 2, 2007. By letter dated July 31, 2009, he offered the obligations specified below as a commitment in the proceedings pursuant to § 32 b Abs. 1 Satz 1 GWB.</w:t>
      </w:r>
    </w:p>
    <w:p>
      <w:r>
        <w:t>1. General Timber Marketing Cooperations Involving the State Forestry Administration of Participant 1</w:t>
        <w:br/>
        <w:t>Subject to the provisions in Section 2, Participant 1 commits, effective also for the state forestry authorities under its supervision and other offices involved in timber marketing, to participate only in timber marketing cooperations with private or municipal forestry enterprises and/or with cooperations of such forestry enterprises from the delivery of this decision onwards, provided that the forestry area of none of the participating individual non-state forestry enterprises or of none of the participating non-state cooperations exceeds the thresholds mentioned below: For the forestry areas of individual forestry enterprises, the threshold is set at 3,000 hectares, and for cooperations at 8,000 hectares. In the case of a cooperation, both thresholds must be observed, meaning that the participation of the state forestry administration in cooperations with private or municipal forest owners is excluded even if the respective cooperation remains below the threshold of 8,000 hectares with its aggregated total forestry area, but the individual forestry area of one of its members exceeds the threshold of 3,000 hectares.</w:t>
      </w:r>
    </w:p>
    <w:p>
      <w:r>
        <w:t>2. Timber Marketing Cooperations on a Case-by-Case Basis</w:t>
        <w:br/>
        <w:t>Furthermore, Participant 1 commits to entering into a timber marketing cooperation for a specific delivery order only if, beyond the aforementioned scenarios of general, long-term timber marketing cooperations:</w:t>
        <w:br/>
        <w:t>a) the respective forestry area of the individual forestry enterprise or the cooperation of forestry enterprises is insufficient to satisfy the specific demand of the respective buyer by the intended delivery date or within the intended delivery period, or if satisfying the specific demand would not be economically feasible and reasonable from a business perspective for the individual forestry enterprise for actual reasons</w:t>
        <w:br/>
        <w:t>and</w:t>
        <w:br/>
        <w:t>b) the buyer, according to a corresponding express clause in the supply contract, demands or agrees to the bundling of the offer and the delivery of wood from several types of forest ownership, including the involvement of the state forestry administration/enterprise.</w:t>
        <w:br/>
        <w:t>The condition mentioned under a) is regularly considered fulfilled if the quantity requested in the individual case, intended for a specific facility of the buyer, or the processing capacity of this facility exceeds 100,000 solid cubic meters (hereinafter: Efm).</w:t>
      </w:r>
    </w:p>
    <w:p>
      <w:r>
        <w:t>3. Principle of Non-Obstruction</w:t>
        <w:br/>
        <w:t>Furthermore, Participant 1 commits to ensuring, through appropriate measures, particularly by informing and instructing its offices and employees via the issuance process, that</w:t>
        <w:br/>
        <w:t>a) existing and new cooperation initiatives outside the timber marketing system of the state forestry administrations are not obstructed in any way,</w:t>
        <w:br/>
        <w:t>b) these initiatives are instead to be supported in the sense of "help for self-help," and</w:t>
        <w:br/>
        <w:t>c) all state employees involved in timber marketing are also promptly informed of the content of the binding commitments upon delivery of this decision.</w:t>
      </w:r>
    </w:p>
    <w:p>
      <w:r>
        <w:t>4. Promotion of the Professionalization of Private and Municipal Timber Marketing Cooperations and Support for Private and Municipal Initiatives for Cooperative Timber Marketing</w:t>
        <w:br/>
        <w:t>Participant 1 commits to promoting the professionalization of private and municipal forestry cooperations (associations) with the aim of enabling them to independently market timber. This commitment can be fulfilled, in particular, through the appropriate implementation of one or more of the following measures:</w:t>
      </w:r>
    </w:p>
    <w:p>
      <w:r>
        <w:t>- 6 -</w:t>
        <w:br/>
        <w:t>• the utilization and further development of state and federal legal instruments to promote the formation and expansion of forestry cooperations (associations),</w:t>
        <w:br/>
        <w:t>• increased training activities as help for self-help, or</w:t>
        <w:br/>
        <w:t>• organizational and, if necessary, financial support for the forestry associations.</w:t>
      </w:r>
    </w:p>
    <w:p>
      <w:r>
        <w:t>5. Pilot Projects</w:t>
        <w:br/>
        <w:t>As part of the support and promotion, Participant 1 initiates and accompanies specific projects of independent private and/or municipal marketing cooperations outside the system of cross-ownership timber marketing by Participant 1 (state marketing system). To this end, Participant 1 will, within a period of five calendar years following the delivery of this decision, in coordination with the associations of other types of forest ownership, name at least three suitable pilot projects to the Federal Cartel Office. The aforementioned period begins with the calendar year 2010 and ends with the conclusion of the calendar year 2014. Suitable pilot projects are considered to be initiatives aimed at one of the following measures:</w:t>
        <w:br/>
        <w:t>a) The establishment of a cooperation with the initial inclusion of independent marketing for all members;</w:t>
        <w:br/>
        <w:t>b) the reorganization or expansion of a cooperation as well as the unification of existing cooperations, provided that this results in the initial inclusion of independent timber marketing for the reorganized, expanded, or unified cooperation as a whole, i.e., for all participating forest owners/forestry enterprises;</w:t>
        <w:br/>
        <w:t>c) the expansion of an already existing and also independently marketing cooperation by including additional individual forestry enterprises that have so far marketed through the state system, provided that the forestry areas of those included in the independent marketing by the receiving cooperation together make up at least half of the previous total forestry area of the receiving cooperation, or</w:t>
        <w:br/>
        <w:t>d) the unification of several already existing cooperations, some of which are already independently marketing, provided that at least one of them only exits the state marketing system with the unification/merger;</w:t>
      </w:r>
    </w:p>
    <w:p>
      <w:r>
        <w:rPr>
          <w:b/>
        </w:rPr>
        <w:t>[Pages 7–9]</w:t>
      </w:r>
    </w:p>
    <w:p>
      <w:r>
        <w:t>- 7 -</w:t>
        <w:br/>
        <w:t>e) the initial establishment of a completely or at least predominantly independent marketing – under its own management and with the unbundling of the timber sales quantities of the members from those of Participant 1 – by an already existing cooperation that is still fully or predominantly marketing through the state marketing system without changing the organization or the membership of the cooperation. The naming of the pilot projects shall include the designation of a contact person from Participant 1 with address, telephone, fax number, and email address, which shall be provided together with the overviews to be submitted according to Section II.6.</w:t>
      </w:r>
    </w:p>
    <w:p>
      <w:r>
        <w:t>6. Monitoring</w:t>
        <w:br/>
        <w:t>a) Participant 1 shall notify the Federal Cartel Office of existing and (e.g., in connection with a successive supply contract) not yet fully settled timber marketing cooperations on a case-by-case basis according to Section II.2, in which he or the forestry offices or services under his supervision are involved, no later than three months after the delivery of this decision. Future timber marketing cooperations on a case-by-case basis according to Section II.2 involving Participant 1 or the state forestry offices or services under his supervision shall be reported to the Federal Cartel Office immediately after the conclusion of the contract with the respective buyer. The notification of timber marketing cooperations on a case-by-case basis shall include the following information:</w:t>
        <w:br/>
        <w:t>• Company and address of the buyer.</w:t>
        <w:br/>
        <w:t>• Total delivery volume by quantity (Efm) and value (EUR).</w:t>
        <w:br/>
        <w:t>• Delivery period.</w:t>
        <w:br/>
        <w:t>• Contracting supplier (state forestry administration/forestry office or other service) and the expected share of this supplier by quantity (Efm) and value (EUR).</w:t>
        <w:br/>
        <w:t>• Expected number of additional suppliers, categorized by private forestry enterprises, municipal forestry enterprises, and forestry cooperations (associations).</w:t>
        <w:br/>
        <w:t>• Names and addresses of private and municipal forestry enterprises as well as forestry cooperations (associations) that are to be involved in the timber marketing cooperation on a case-by-case basis and exceed the thresholds according to Section II.1. of this commitment.</w:t>
        <w:br/>
        <w:t>• Brief justification for meeting the admissibility requirements mentioned above under Section II.2.</w:t>
      </w:r>
    </w:p>
    <w:p>
      <w:r>
        <w:t>b) Participant 1 commits to notifying the Federal Cartel Office for the calendar year 2008 no later than three months after the delivery of this decision and for the following calendar years by January 31 of the subsequent year of all supply contracts with a delivery volume of more than 1,000 Efm, which were serviced within the framework of timber marketing cooperations involving the affected forestry offices or services, by means of annual overviews. The overviews shall include the following information for each of these contracts:</w:t>
        <w:br/>
        <w:t>• Company and address of the buyer.</w:t>
        <w:br/>
        <w:t>• Case category: General timber marketing cooperation (above Section II.1.) or timber marketing cooperation on a case-by-case basis (above Section II.2.)</w:t>
        <w:br/>
        <w:t>• Contract duration.</w:t>
        <w:br/>
        <w:t>• Contract volume separately (i) by roundwood, industrial wood, and energy/forest residual wood each by quantity (Efm) and value (EUR) as well as (ii) by types of forest ownership indicating the number of forestry enterprises involved by type of forest ownership.</w:t>
        <w:br/>
        <w:t>• The three largest private and municipal forestry enterprises by delivery share and forestry operational area.</w:t>
      </w:r>
    </w:p>
    <w:p>
      <w:r>
        <w:t>c) The information under lit. a) and b) shall be kept in a verifiable manner. The overviews may also be submitted as summarizing statistical evaluations in consultation with the Federal Cartel Office. The Federal Cartel Office may request further relevant information based on the data material submitted to it.</w:t>
      </w:r>
    </w:p>
    <w:p>
      <w:r>
        <w:t>7. The obligations of Participant 1 according to Sections II.1 to 4 are indefinite. The obligations according to Sections II.5 and 6 shall expire at the end of the calendar year 2014, and for the notification obligations mentioned in Section II.6 lit. b) on January 31, 2015.</w:t>
      </w:r>
    </w:p>
    <w:p>
      <w:r>
        <w:t>- 9 -</w:t>
        <w:br/>
        <w:t>III.</w:t>
        <w:br/>
        <w:t>A. Legal Assessment</w:t>
        <w:br/>
        <w:t>1. Agreements or coordinated behaviors of suppliers who are in competition with each other regarding the joint (“bundled”) sale of timber at uniform prices and/or conditions (sales cartels or “syndicates”) regularly fall under the cartel prohibition. This also applies according to § 130 Abs. 1 Sentence 1 GWB to the activities of public law corporations, insofar as they participate as suppliers or buyers in general economic transactions. The bundling of the timber offer is also subject to the cartel prohibition if the horizontal coordination of behavior among the supplying forestry enterprises arises only from the fact that they conclude formally separate but consciously and intentionally identical vertical supply contracts with the buyers regarding prices and conditions, and this is based on corresponding framework agreements of one of the participating suppliers with the buyers, as is commonly the case in cross-ownership timber marketing under the direction and participation of the state forestry administrations/enterprises. Participant 1 also organizes its timber marketing in this manner.</w:t>
      </w:r>
    </w:p>
    <w:p>
      <w:r>
        <w:t>2. Agreements and coordinated behaviors of the aforementioned kind do not violate the cartel prohibition if and to the extent that the participating companies are unable to fulfill certain supply orders on their own, for example, due to insufficient size (so-called “joint venture concept”), or if the competitive restriction intended or achieved by their agreement is not suitable in terms of extent (i.e., quantitatively, e.g.: circle of participants, market share) and/or intensity (i.e., qualitatively, e.g.: agreements only on joint advertising, but not on prices) to influence the market conditions in a way that is even perceptible to other competitors or the market counterpart (in the case of sales cartels: the buyers) (perceptibility requirement). The Federal Cartel Office assumes based on its findings from the roundwood procedure that, at least in the case of comprehensive cross-ownership timber marketing cooperations involving and directed by the state forestry administration of Participant 1, regarding the size of the state forests and the number of participating forestry enterprises, neither the conditions of the joint venture concept are regularly met nor is perceptibility excluded.</w:t>
      </w:r>
    </w:p>
    <w:p>
      <w:r>
        <w:t>3. The applicability of antitrust law is not restricted by the special legal regulation of other federal legal provisions – here: § 40 Abs. 1 Federal Forest Act (BWaldG) – according to which § 1 GWB applies to decisions of associations of forestry enterprises.</w:t>
      </w:r>
    </w:p>
    <w:p>
      <w:r>
        <w:rPr>
          <w:b/>
        </w:rPr>
        <w:t>[Pages 10–12]</w:t>
      </w:r>
    </w:p>
    <w:p>
      <w:r>
        <w:t>- 10 -</w:t>
        <w:br/>
        <w:t>application of § 1 GWB is not applicable to decisions of associations of forestry producer enterprises, recognized forestry cooperatives, and forestry associations, insofar as they concern the forestry production and the marketing of forest products. The typical cross-ownership bundled timber marketing under the direction and participation of the state forestry administration does not occur within the organizational forms of forestry cooperation ("associations") covered by this provision, but rather through a power of attorney to the forestry authority of Participant 1 or through their mediation. Associations in the sense of § 40 BWaldG are not formed for this purpose. Rather, it is a contractual system that – as described above under 1. – represents a network of parallel vertical contracts agreed upon with an identical partner, here Participant 1 as the highest state forestry authority. As star contracts, they fall under § 1 GWB if the multitude of identical agreements takes on a horizontal character. This is the case here. The common objective of all participants – forestry administration and forest owners – is the joint sale of timber under the organizational and price-setting leadership of the forestry administration of Participant 1. This requires a targeted and intentional cooperation between the forestry authority and a multitude of forest owners in such a way that the quantities available for timber sale from state and non-state forest ownership are bundled, thereby enabling marketing in the first place. On the other hand, the bundling of a multitude of small quantities (here: the majority of the timber marketing quantities) in one hand creates a supply volume that has a significant influence on price determination. The bundling of timber supply quantities to be assessed here is therefore to be evaluated under § 1 GWB and Art. 81 EC.</w:t>
      </w:r>
    </w:p>
    <w:p>
      <w:r>
        <w:t>4. An exemption of the timber marketing cartel under § 2 GWB or Art. 81 Abs. 3 EC is also not considered, as several of the mentioned exemption requirements (improvement of the production or distribution of goods, passing on of benefits to consumers, no elimination of competition for a substantial part of the goods in question) are not met. An improvement in the production of goods can only be affirmed for the quantities below marketability. The market dominance of the state forestry authority, which directly influences the selling prices for the majority of the timber supply, opens up significant opportunities for it to exclude price competition against competitors and buyers. Sawmills as further processing buyers of roundwood do not naturally benefit from this, as supplier competition is almost completely excluded, and Participant 1, through the bundling of quantities and its own market significance, also significantly influences the market behavior of other market participants.</w:t>
      </w:r>
    </w:p>
    <w:p>
      <w:r>
        <w:t>- 11 -</w:t>
        <w:br/>
        <w:t>5. The prerequisites for the legalization of a medium-sized enterprise cartel under § 3 GWB are also not present, as the present supplier cartel has the character of a comprehensive large cartel that, in this case, covers the majority of the raw timber quantities marketed under state direction through the bundling of supply quantities within the jurisdiction of Participant 1. Competition in the timber sales market in Thuringia is significantly impaired. The supplier cartel also does not serve to improve the competitiveness of small or medium-sized enterprises, as especially the non-marketable small and micro forest owners leave their marketing to the state forestry administration of Participant 1, thus not increasing their own marketing competence. Only the merger into forestry cooperatives without state participation is the cartel law-privileged path provided by the legislator under § 40 Abs. 1 BWaldG.</w:t>
      </w:r>
    </w:p>
    <w:p>
      <w:r>
        <w:t>6. § 32 b GWB opens up the possibility for the cartel authority to declare commitments offered by companies binding by order if they are suitable to eliminate the concerns communicated after preliminary assessment against an agreement covered by § 1 GWB. The commitments offered by Participant 1 during the proceedings are, in the opinion of the Federal Cartel Office, suitable to serve the cartel law objective – here the restriction of a distribution cartel – in favor of creating competitive offers in timber marketing. However, the catalog of commitments is only effective in its entirety and in the interplay of limiting cooperative marketing to non-marketable forest areas, non-obstruction in establishing non-state marketing cooperations, and the simultaneous obligation to demonstrate pilot projects to strengthen independent private and municipal marketing without the involvement of the state forestry administration. Forestry enterprises or forestry cooperatives with forest areas above the thresholds mentioned under Section II.1. for general marketing cooperations with state participation are, according to the investigations of the Federal Cartel Office, marketable and are fundamentally to be excluded from the bundled timber marketing under state direction.</w:t>
      </w:r>
    </w:p>
    <w:p>
      <w:r>
        <w:t>7. It is also ensured that the pilot projects with the cooperating areas must be located within the aforementioned cartel law limits of cooperative timber marketing and thus below the threshold of marketability. The pilot projects are only suitable if they do not constitute a violation of § 1 GWB or would be exemptible under §§ 2 et seq. GWB or fall under the exception provision of § 40 BWaldG.</w:t>
      </w:r>
    </w:p>
    <w:p>
      <w:r>
        <w:t>8. Below the mentioned thresholds, the Federal Cartel Office will not intervene against cooperative timber marketing in the interest of timber mobilization and while maintaining the principle of proportionality. Given the existing structure of forest owners with a multitude of non-marketable fragmented forest areas, there is also recognized a need for cooperation, especially among small and medium-sized forest owners with the state forestry administration of Participant 1 or non-state marketing cooperatives from a competition perspective. Small and micro forest owners face the decision to forgo marketing due to marketing costs and lack of market access. However, the bundling of timber marketing for non-marketable forest areas is in the public interest of sufficient timber mobilization, given the steadily growing and significant demand. Primarily and in the long term, it is important to strengthen and develop the marketability of private and municipal forest owners outside the state timber marketing system. The solution now found will further stimulate the establishment of marketable forestry enterprises and marketing organizations within the aforementioned cartel law limits, among other things, through the obligation to establish new or strengthen existing marketing organizations, which Participant 1 must fulfill within a reasonable timeframe as part of the pilot projects. The decision-making department expects significant impulses from this for the competitive loosening of the timber supply, a strengthening of non-state timber marketing, and a differentiation of timber sale prices. Given the traditional dominance of the state forestry administration in timber marketing, which is combined with state supervision under the respective state forestry laws and other service functions provided by law – e.g., in providing forestry services – the obligation for Participant 1 not to obstruct non-state forest ownership, in conjunction with the other mentioned measures, is a suitable means to give non-state timber marketing broader scope.</w:t>
      </w:r>
    </w:p>
    <w:p>
      <w:r>
        <w:t>9. The commitments are indefinite for Participant 1 regarding the obligations mentioned under Sections II.1. to 4. The obligations mentioned under Sections II.5. and 6. become effective upon delivery of the decision and expire at the end of the calendar year 2014, or for the reporting obligations mentioned under Section II.6. lit. b) on January 31, 2015.</w:t>
      </w:r>
    </w:p>
    <w:p>
      <w:r>
        <w:t>10. Furthermore, reference is made to the specification paper signed by Participant 1 on May 2, 2007.</w:t>
      </w:r>
    </w:p>
    <w:p>
      <w:r>
        <w:t>11. The decision-making department has given Participant 1 and the interveners the opportunity to comment before issuing this decision with a letter dated April 14, 2008. The</w:t>
      </w:r>
    </w:p>
    <w:p>
      <w:r>
        <w:rPr>
          <w:b/>
        </w:rPr>
        <w:t>[Pages 13–13]</w:t>
      </w:r>
    </w:p>
    <w:p>
      <w:r>
        <w:t>- 13 -</w:t>
        <w:br/>
        <w:t xml:space="preserve">Participant 1 also received a substantially editorially revised draft of the decision by letter dated May 6, 2009.  </w:t>
        <w:br/>
        <w:t xml:space="preserve">12. The decision-making department therefore declares the commitments binding within the scope of its discretion and terminates the proceedings against the affected party, subject to its powers contained in § 32 b Abs. 2 GWB.  </w:t>
        <w:br/>
        <w:t xml:space="preserve">B. Fees  </w:t>
        <w:br/>
        <w:t xml:space="preserve">[ ... ]  </w:t>
        <w:br/>
        <w:t xml:space="preserve">C. Instruction on Legal Remedies  </w:t>
        <w:br/>
        <w:t xml:space="preserve">[ ... ]  </w:t>
        <w:br/>
        <w:t>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