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https://www.bundeskartellamt.de/SharedDocs/Entscheidung/DE/Entscheidungen/Kartellverbot/2009/B2-90-01-2.pdf;jsessionid=09A4CBB7FB0472F95011CBF91E39C59D.1_cid362?__blob=publicationFile&amp;v=4</w:t>
      </w:r>
    </w:p>
    <w:p>
      <w:r>
        <w:t>Pages translated : 15</w:t>
      </w:r>
    </w:p>
    <w:p/>
    <w:p>
      <w:r>
        <w:rPr>
          <w:b/>
        </w:rPr>
        <w:t>[Pages 1–3]</w:t>
      </w:r>
    </w:p>
    <w:p>
      <w:r>
        <w:t xml:space="preserve">Bundeskartellamt  </w:t>
        <w:br/>
        <w:t xml:space="preserve">2. Decision Division  </w:t>
        <w:br/>
        <w:t xml:space="preserve">B 2 – 90/01- 2  </w:t>
        <w:br/>
        <w:t xml:space="preserve">Decision  </w:t>
        <w:br/>
        <w:t xml:space="preserve">In the administrative procedure  </w:t>
        <w:br/>
        <w:t xml:space="preserve">1. Federal State of North Rhine-Westphalia  </w:t>
        <w:br/>
        <w:t xml:space="preserve">represented by the  </w:t>
        <w:br/>
        <w:t xml:space="preserve">Ministry for Environment and Conservation,  </w:t>
        <w:br/>
        <w:t xml:space="preserve">Agriculture and Consumer Protection  </w:t>
        <w:br/>
        <w:t xml:space="preserve">Schwannstraße 3  </w:t>
        <w:br/>
        <w:t xml:space="preserve">40476 Düsseldorf  </w:t>
        <w:br/>
        <w:t xml:space="preserve">- Participant -  </w:t>
        <w:br/>
        <w:t xml:space="preserve">[ ... ]  </w:t>
        <w:br/>
        <w:t xml:space="preserve">regarding the violation of § 1 of the Act against Restraints of Competition (GWB)  </w:t>
        <w:br/>
        <w:t xml:space="preserve">and Article 81 of the Treaty establishing the European Community (EC) by  </w:t>
        <w:br/>
        <w:t xml:space="preserve">Participant 1, the 2nd Decision Division of the Federal Cartel Office has decided on January 29, 2009, in accordance with § 32 b GWB:  </w:t>
        <w:br/>
        <w:t xml:space="preserve">1. The commitments offered by Participant 1, as set out in Section II. of this decision and dated January 21, 2009, are binding for Participant 1.  </w:t>
        <w:br/>
        <w:t xml:space="preserve">2. The proceedings against Participant 1 are terminated in accordance with § 32 b paragraph 1 sentence 2 GWB.  </w:t>
        <w:br/>
        <w:t xml:space="preserve">3. The fee for this procedure, including this decision, is set at [...] EUR and imposed on Participant 1.  </w:t>
        <w:br/>
        <w:t xml:space="preserve">Reasons:  </w:t>
        <w:br/>
        <w:t xml:space="preserve">I. Facts  </w:t>
        <w:br/>
        <w:t>. . .</w:t>
      </w:r>
    </w:p>
    <w:p>
      <w:r>
        <w:t xml:space="preserve">- 2 -  </w:t>
        <w:br/>
        <w:t xml:space="preserve">Participant 1 manages approximately 120,000 hectares of state forest as the highest forestry authority of the Federal State of North Rhine-Westphalia, either directly or usually through the state enterprise Wald und Holz NRW, accounting for about 13% of the state forest area. Following the last forestry reform (January 1, 2005), the forestry administration is structured in two tiers: the MUNLV as the supervisory and highest forestry authority and the state enterprise Wald und Holz NRW as the lower and higher forestry authority. The forestry administration of the state of NRW is conducted in accordance with § 14a of the State Organization Act NRW in conjunction with § 26 of the State Budget Regulation of the state of NRW. The state enterprise Wald und Holz NRW performs tasks as a legally non-independent, organizationally separated part of the state administration within the framework of the business areas of state-owned forestry operations, forestry services, and sovereign tasks within a unified forestry administration. The units referred to as forestry offices are branches of the state enterprise and no longer have the status of authorities.  </w:t>
        <w:br/>
        <w:t xml:space="preserve">The raw timber harvest on the forest area owned by the state averaged about 0.7 million solid cubic meters (hereinafter: fm) in recent years. In addition, Participant 1 operates timber marketing for private and municipal forest owners on a contractual basis and for a fee through the state enterprise Wald und Holz. In doing so, it aggregates the raw timber quantities from state ownership and the contractual partners from private and corporate forests, if applicable, into a unified offer and sells them to timber processing and manufacturing customers such as sawmills, companies in the paper and wood-based materials industry, or the energy sector, among others. Together with the timber sales brokerage for third parties amounting to approximately [...] million fm, the quantity of timber marketed or brokered for sale by the state forestry administration in the reference year 2006 was approximately [...] million fm. The official raw timber statistics report a harvest of around 4.58 million fm for North Rhine-Westphalia. This results in a market share of [...] % in roundwood marketing. According to Participant 1, this figure is approximately 25% overstated due to the data collection method of the raw timber statistics, so that it bases a real timber harvest of about 5.72 million fm for the year 2006 and thus a market share of about [...] %.  </w:t>
        <w:br/>
        <w:t>The comprehensive bundling of raw timber quantities available for marketing in the territory under the active moderation of Participant 1 enables it to determine the market situation comprehensively in terms of both demand coverage (quantity) and pricing. Not least, Participant 1 has</w:t>
      </w:r>
    </w:p>
    <w:p>
      <w:r>
        <w:t xml:space="preserve">- 3 -  </w:t>
        <w:br/>
        <w:t xml:space="preserve">a statewide organization and a personnel infrastructure on which owners of small and very small forest areas rely due to insufficient marketing knowledge. State cooperations of Participant 1 with other federal states in timber marketing are not known to the Federal Cartel Office. Rather, the limitation of cooperative marketing offers to the territory of a federal state (here of Participant 1) is, according to the knowledge of the Federal Cartel Office, the practice in all federal states with state-owned forests. The decision division therefore assumes that the geographical market is limited by the administrative boundaries of the state of North Rhine-Westphalia, even if part of the raw timber supply – especially from border areas to other federal states such as Lower Saxony, Hesse, Rhineland-Palatinate, or the Benelux countries – is procured across borders. Participant 1 asserts that the geographical market should be defined more broadly than within the administrative boundaries of the Federal State of North Rhine-Westphalia and refers to the cluster study Forest &amp; Wood NRW (Schulte et al., 2003), without quantifying the volume of wood delivered to NRW.  </w:t>
        <w:br/>
        <w:t xml:space="preserve">In a letter dated October 10, 2001, to the Federal Cartel Office, Participant 2 challenged the timber marketing described above in North Rhine-Westphalia and other federal states and essentially stated that the bundling of the harvested raw timber quantities for marketing to the further processing sawmills leads to a standardization of the sale prices and conditions for the vast majority of the timber quantities available for sale. This forces the buyers to conduct price and sales negotiations almost exclusively with the representatives of the respective state forestry administration. The few remaining timber suppliers not marketing through the state forestry administration also orient themselves to the price guidelines of the state forestry administration. Thus, competition among suppliers is nearly completely excluded.  </w:t>
        <w:br/>
        <w:t xml:space="preserve">The Federal Cartel Office initially initiated a general investigation procedure due to the suspicion of the formation of an unlawful distribution cartel under § 1 GWB and Article 81 EC and, in a letter dated November 6, 2001, requested the then Federal Ministry for Consumer Protection, Food and Agriculture (BMVEL) to work towards a change in this practice within the framework of federal-state coordination. The BMVEL referred in a letter dated December 12, 2002, to the exclusive jurisdiction of the states in the distribution of raw timber.  </w:t>
        <w:br/>
        <w:t>The Federal Cartel Office then opened a prohibition procedure – initially against the most significant timber marketing states Baden-Württemberg, Bavaria, North Rhine-</w:t>
      </w:r>
    </w:p>
    <w:p>
      <w:r>
        <w:rPr>
          <w:b/>
        </w:rPr>
        <w:t>[Pages 4–6]</w:t>
      </w:r>
    </w:p>
    <w:p>
      <w:r>
        <w:t>- 4 -</w:t>
        <w:br/>
        <w:t>Westphalia, Thuringia, and Rhineland-Palatinate – and issued information orders to the mentioned states, their municipal associations, private forest owners, and wood-processing companies regarding timber marketing practices on March 19, 2003. The results supported the suspicion of anti-competitive practices in timber marketing, which involved the bundling of sales volumes from state and non-state providers and significantly restricted competition among providers. The proceedings against the federal state of Bavaria were subsequently discontinued because the Bavarian State Forests AöR, as a state forestry enterprise, marketed its timber exclusively on its own and outside any cooperation with non-state forest owners. Subsequently, the Federal Cartel Office held several discussions with the representative of the Free State of Thuringia, who at that time chaired the Conference of Forestry Chiefs of the States, to influence a change in marketing practices. In a meeting on July 19, 2004, the representative of Thuringia – also on behalf of the other participating federal states – presented a joint position paper to clarify future marketing practices in order to alleviate the concerns of the Federal Cartel Office. Following this, the Federal Cartel Office sent a clarifying letter to the representative of Thuringia on December 23, 2004, which further specified the competition-compliant principles of the future marketing practices of the participating federal states (hereinafter: specification paper). The specification paper presents the anti-competitive practices of timber marketing, the concerns of the Federal Cartel Office based on these practices, and the commitments to be undertaken by the participating federal states to eliminate the anti-competitive practices of timber marketing in the involved federal states in the future.</w:t>
        <w:br/>
        <w:t>[ ... ]</w:t>
        <w:br/>
        <w:t>In discussions with the participating federal states, the specification paper and the catalog of commitments contained therein for future competition-compliant marketing practices were further developed and accepted by the participating federal states and the Federal Cartel Office as the basis for a decision pursuant to § 32 b GWB as of April 16, 2007. The Conference of Forestry Chiefs on April 26/27, 2007, passed the following resolution:</w:t>
        <w:br/>
        <w:t>“The Conference of Forestry Chiefs welcomes, after thorough discussion and deliberation, the coordinated specification paper as an acceptable solution for the amicable termination of the ongoing proceedings against Baden-Württemberg, North Rhine-Westphalia, Rhineland-Palatinate, and Thuringia. The decision to adopt the results is to be made individually by each federal state.”</w:t>
        <w:br/>
        <w:t>II.</w:t>
        <w:br/>
        <w:t>The Commitments</w:t>
        <w:br/>
        <w:t>Participant 1 submitted a signed copy of the specification paper to the Federal Cartel Office on June 26, 2007, in a letter dated without a date. In a letter dated January 21, 2009, he offered the following specified commitments pursuant to § 32 b Abs. 1 Satz 1 GWB as a promise in the proceedings.</w:t>
        <w:br/>
        <w:t>1. General marketing cooperations involving the state forestry administration of Participant 1.</w:t>
        <w:br/>
        <w:t>Participant 1 commits, effective also for the forestry authorities and other agencies under its supervision involved in timber marketing, to participate only in timber marketing cooperations with private or municipal forestry enterprises and/or with cooperations of such forestry enterprises upon delivery of this decision, provided that the forestry operation area of none of the participating individual non-state forestry enterprises or none of the participating non-state cooperations exceeds the thresholds mentioned below: For the forestry operation areas of individual forestry enterprises, the threshold is set at 3,000 ha, and for cooperations at 8,000 ha. In the case of a cooperation, both thresholds must be observed, meaning that participation of the state forestry administration in cooperations with private or municipal forest owners is also excluded if the respective cooperation, with its aggregated total forestry operation area, remains below the threshold of 8,000 ha, but the individual forestry operation area of one of its members exceeds the threshold of 3,000 ha.</w:t>
        <w:br/>
        <w:t>2. Marketing cooperations in individual cases</w:t>
        <w:br/>
        <w:t>Furthermore, Participant 1 commits to entering into a marketing cooperation in the case of a specific delivery order only if</w:t>
      </w:r>
    </w:p>
    <w:p>
      <w:r>
        <w:t>- 6 -</w:t>
        <w:br/>
        <w:t>a) the respective forestry operation area of the individual forestry enterprise or the cooperation of forestry enterprises is insufficient to meet the specific demand of the respective purchaser by the intended delivery date or within the intended delivery period, or if meeting the specific demand is economically impractical and commercially unreasonable for the individual forestry enterprise for actual reasons</w:t>
        <w:br/>
        <w:t>and</w:t>
        <w:br/>
        <w:t>b) the purchaser, as evidenced by a corresponding explicit clause in the delivery contract, requires or agrees to the bundling of the offer and the delivery of wood from multiple types of forest ownership, including the involvement of the state forestry administration/enterprise.</w:t>
        <w:br/>
        <w:t>The condition mentioned under a) is regularly considered fulfilled if the quantity of timber requested in the individual case for a specific operating site of the purchaser or the processing capacity of this operating site exceeds 100,000 harvest cubic meters (hereinafter: Efm).</w:t>
        <w:br/>
        <w:t>3. Principle of non-obstruction</w:t>
        <w:br/>
        <w:t>Furthermore, Participant 1 commits to ensuring through appropriate measures, particularly by informing and instructing its agencies and employees via decree, that</w:t>
        <w:br/>
        <w:t>a) existing and new cooperation initiatives outside the timber marketing system of the state forestry administrations are not obstructed in any way,</w:t>
        <w:br/>
        <w:t>b) these initiatives are instead to be supported in the sense of “help for self-help,” and</w:t>
        <w:br/>
        <w:t>c) all state employees involved in timber marketing are also promptly informed of the content of the binding commitments upon delivery of this decision.</w:t>
      </w:r>
    </w:p>
    <w:p>
      <w:r>
        <w:rPr>
          <w:b/>
        </w:rPr>
        <w:t>[Pages 7–9]</w:t>
      </w:r>
    </w:p>
    <w:p>
      <w:r>
        <w:t>- 7 -</w:t>
        <w:br/>
        <w:t>4. Promotion of the Professionalization of Private and Municipal Timber Marketing Cooperations and Support for Private and Municipal Initiatives for Cooperative Timber Marketing</w:t>
        <w:br/>
        <w:t>Participant 1 commits to promoting the professionalization of private and municipal forestry cooperations (associations) with the aim of enabling them to independently market timber. This obligation can be fulfilled, in particular, through the appropriate implementation of one or more of the following measures:</w:t>
        <w:br/>
        <w:t>• The use and further development of state and federal legal instruments to promote the formation and expansion of forestry cooperations (associations);</w:t>
        <w:br/>
        <w:t>• Increased training activities as a form of help for self-help;</w:t>
        <w:br/>
        <w:t>• Organizational and, if necessary, financial support for the forestry associations.</w:t>
        <w:br/>
        <w:t>5. Pilot Projects</w:t>
        <w:br/>
        <w:t>As part of the support and promotion, Participant 1 will initiate and accompany specific projects of independent private and/or municipal marketing cooperations outside the system of cross-ownership timber marketing by Participant 1 (state marketing system). To this end, Participant 1 will, within a period of five calendar years after the delivery of this order, in coordination with the associations of other types of forest ownership, name at least five suitable pilot projects to the Federal Cartel Office. The aforementioned period begins with the calendar year 2009 and ends with the expiration of the calendar year 2013. Suitable pilot projects are considered to be initiatives aimed at one of the following measures:</w:t>
        <w:br/>
        <w:t>a) The establishment of a cooperation with the initial independent marketing for all members;</w:t>
        <w:br/>
        <w:t>b) The reorganization or expansion of a cooperation as well as the unification of existing cooperations, provided that this is associated with the initial independent marketing for the reorganized, expanded, or united cooperation as a whole, i.e., for all participating forest owners/forestry enterprises;</w:t>
        <w:br/>
        <w:t>c) The expansion of an already existing and independently marketing cooperation by including additional individual forestry enterprises that have so far marketed through the state system, provided that the forest areas transferred to independent marketing by the receiving cooperation together constitute at least half of the previous total forest area of the receiving cooperation;</w:t>
        <w:br/>
        <w:t>d) The unification of several already existing and partially independently marketing cooperations, provided that at least one of them exits the state marketing system only with the unification/merger;</w:t>
        <w:br/>
        <w:t>e) The initial establishment of a fully or at least predominantly independent marketing – under its own management and separating the timber sales volumes of its members from those of Participant 1 – by an already existing cooperation that is still fully or predominantly marketing through the state marketing system without changing the organization or membership of the cooperation.</w:t>
        <w:br/>
        <w:t>The naming of the pilot projects shall include the contact details of a representative of Participant 1, including address, telephone, fax number, and email address, which shall be provided together with the overviews to be submitted according to Section II. 6.</w:t>
        <w:br/>
        <w:t>6. Monitoring</w:t>
        <w:br/>
        <w:t>a) Participant 1 will notify the Federal Cartel Office of existing and (e.g., in connection with a successive delivery contract) not yet fully processed marketing cooperations in individual cases according to Section II. 2, in which he or the forestry authorities and other agencies under his supervision are involved, no later than three months after the delivery of this order. Future "marketing cooperations in individual cases" according to Section II. 2 involving Participant 1 or the forestry authorities and other agencies subordinate to him will be reported by Participant 1 to the Federal Cartel Office immediately after the conclusion of the contract with the respective purchaser. The notification of marketing cooperations in individual cases shall contain the following information in each case:</w:t>
        <w:br/>
        <w:t>• Company name and address of the purchaser</w:t>
        <w:br/>
        <w:t>• Total delivery volume by quantity (Efm) and value (EUR)</w:t>
        <w:br/>
        <w:t>• Delivery period</w:t>
        <w:br/>
        <w:t>• Contract-concluding supplier (state forestry administration/forestry authority or other agency) and the anticipated delivery share attributable to them by quantity (Efm) and value (EUR)</w:t>
        <w:br/>
        <w:t>• Anticipated number of other suppliers, subdivided by private forestry enterprises, municipal forestry enterprises, and forestry cooperations (associations),</w:t>
        <w:br/>
        <w:t>• Names and addresses of private and municipal forestry enterprises as well as forestry cooperations (associations) that are to be involved in the marketing cooperation in individual cases and that exceed the threshold values according to Section II.1 of this commitment,</w:t>
        <w:br/>
        <w:t>• Brief justification for the fulfillment of the admissibility requirements mentioned above in Section II. 2.</w:t>
        <w:br/>
        <w:t>b) Participant 1 commits to notifying the Federal Cartel Office for the calendar year 2008 no later than three months after the delivery of this order and for the following calendar years by January 31 of the following year of all delivery contracts with a delivery volume of more than 1,000 Efm that were serviced within the framework of marketing cooperations involving the affected forestry authorities or other agencies, through annual overviews. The overviews shall contain the following information for each of these contracts:</w:t>
      </w:r>
    </w:p>
    <w:p>
      <w:r>
        <w:rPr>
          <w:b/>
        </w:rPr>
        <w:t>[Pages 10–12]</w:t>
      </w:r>
    </w:p>
    <w:p>
      <w:r>
        <w:t>- 10 -</w:t>
        <w:br/>
        <w:t>• Company name and address of the purchaser</w:t>
        <w:br/>
        <w:t>• Case category: General marketing cooperation (above Section II.1) or marketing cooperation in individual cases (above Section II.2)</w:t>
        <w:br/>
        <w:t>• Contract duration</w:t>
        <w:br/>
        <w:t>• Contract volume separately (i) by roundwood, industrial wood, and energy/forest residual wood each by quantity (Efm) and value (EUR) as well as (ii) by types of forest ownership indicating the number of forestry enterprises involved for each type of forest ownership</w:t>
        <w:br/>
        <w:t>• The three largest private and municipal forestry enterprises by delivery share and forestry operation area.</w:t>
        <w:br/>
        <w:t>c) The information referred to in lit. a) and b) shall be kept in a verifiable manner. The overviews may also be reported as summarizing statistical evaluations in consultation with the Federal Cartel Office. The Federal Cartel Office may request further useful information based on the data material submitted to it.</w:t>
        <w:br/>
        <w:t>III.</w:t>
        <w:br/>
        <w:t>A. Legal Assessment</w:t>
        <w:br/>
        <w:t>1. Agreements or coordinated behaviors of suppliers who compete with each other regarding the joint ("bundled") sale of wood at uniform prices and/or conditions (sales cartels or "syndicates") regularly fall under the cartel prohibition. This also applies according to § 130 Abs. 1 Satz 1 GWB to the activities of public law corporations, insofar as they participate as suppliers or purchasers in general economic transactions. The bundling of wood offers is also subject to the cartel prohibition if the horizontal coordination of behavior among the offering forestry enterprises arises solely from the fact that they conclude formally separate but consciously and intentionally identical vertical supply contracts with the purchasers regarding prices and conditions, and this is based on corresponding framework agreements of one of the participating suppliers with the purchasers, as is commonly the case in cross-ownership wood marketing under the direction and involvement of the state forestry administrations/enterprises. Participant 1 also organizes its wood marketing in this manner.</w:t>
      </w:r>
    </w:p>
    <w:p>
      <w:r>
        <w:t>- 11 -</w:t>
        <w:br/>
        <w:t>2. Agreements and coordinated behaviors of the aforementioned type do not violate the cartel prohibition if and to the extent that the participating companies are unable to fulfill certain delivery orders on their own, e.g., due to insufficient size (so-called "joint venture concept"), or if the competition restriction intended or achieved by their agreement is not suitable to significantly influence market conditions for other competitors or the market counterpart (in the case of sales cartels: the purchasers) in any noticeable way (noticeability requirement) based on its extent (i.e., quantitatively, e.g.: circle of participants, market share) and/or intensity (i.e., qualitatively, e.g.: agreements only on joint advertising, but not on prices). The Federal Cartel Office assumes based on its findings from the roundwood procedure that in any case, with regard to the size of the state forests and the number of participating forestry enterprises, the conditions of the joint venture concept are regularly not met in the comprehensive cross-ownership wood marketing cooperations involving and directed by the state forestry administration of Participant 1, nor is noticeability excluded.</w:t>
        <w:br/>
        <w:t>3. The applicability of antitrust law is not restricted by the special legal regulation of other federal legal provisions – here: § 40 Abs. 1 Federal Forest Act (BWaldG) – according to which § 1 GWB is not applicable to resolutions of associations of forestry producer enterprises, recognized forestry cooperatives, and forestry associations, insofar as they concern the forestry production and marketing of forestry products. The typical cross-ownership bundled wood marketing under the direction and involvement of the state forestry administration does not take place in the organizational forms of forestry cooperations ("associations") covered by this provision, but through a power of attorney to the forestry authority of Participant 1 or through its mediation. Associations in the sense of § 40 BWaldG are not formed for this purpose. Rather, it is a contractual system that – as described above in 1. – represents a network of parallel vertical contracts that are agreed upon with an identical partner, here Participant 1 as the highest state forestry authority. As star contracts, they fall under § 1 GWB if the multitude of identical agreements takes on a horizontal character. This is the case here. The common objective of all participants – forestry administration and forest owners – is the joint sale of wood under the organizational and price-setting leadership of the forestry administration of Participant 1. This requires a targeted and intentional collaboration between the forestry authority and a multitude of forest owners in such a way that the quantities of offers available for wood sale from state and non-state forest ownership are bundled, thus enabling marketing at all. On the other hand, the bundling of a multitude of small quantities with the raw wood harvested from the state forest and available for sale in one hand (here: approx. 42% of the raw wood quantities marketed statewide) creates an offer volume that has a significant influence on price determination. The bundling of wood offer quantities to be assessed here is therefore to be evaluated under § 1 GWB and Art. 81 EC.</w:t>
        <w:br/>
        <w:t>4. An exemption of the wood marketing cartel under § 2 GWB or Art. 81 Abs. 3 EC is also not applicable, as several of the mentioned exemption requirements (improvement of goods production or distribution, passing on benefits to consumers, no elimination of competition for a significant part of the relevant goods) are not met. An improvement in goods production can only be affirmed for the quantities of offers below marketability. The market dominance of the state forestry authority, which directly influences the sale prices for approx. 42% of the wood offer, provides it with significant opportunities to exclude price competition against competitors and purchasers. The sawmills as further processing purchasers of roundwood do not naturally benefit from this, as supplier competition is almost completely excluded, and Participant 1, beyond the quantity bundling and its own market significance, also significantly influences the market behavior of the other market participants.</w:t>
        <w:br/>
        <w:t>5. The conditions for legalizing a medium-sized cartel under § 3 GWB are also not met, as the present supplier cartel has the character of a comprehensive large cartel that covers approximately [ ... ] % of the raw wood quantities marketed under state direction in the territory of Participant 1 through the bundling of offer quantities. Competition in the wood sales market in North Rhine-Westphalia is thus significantly impaired. The supplier cartel also does not serve to improve the competitiveness of small or medium-sized enterprises.</w:t>
      </w:r>
    </w:p>
    <w:p>
      <w:r>
        <w:rPr>
          <w:b/>
        </w:rPr>
        <w:t>[Pages 13–15]</w:t>
      </w:r>
    </w:p>
    <w:p>
      <w:r>
        <w:t>- 13 -</w:t>
        <w:br/>
        <w:t>improve the competitiveness of small or medium-sized enterprises, as especially the non-marketable small and very small forest owners leave their marketing to the state forestry administration of Participant 1, thus not enhancing their own marketing competence. Only the merger into forestry operating communities without state involvement is the legally privileged path under § 40 Abs. 1 BWaldG in terms of antitrust law.</w:t>
        <w:br/>
        <w:t>6. § 32 b GWB opens up the possibility for the antitrust authority to declare commitments offered by companies binding by order if they are suitable to eliminate the concerns communicated in the preliminary assessment regarding an agreement covered by § 1 GWB. The commitments offered by Participant 1 during the proceedings are, in the opinion of the Federal Cartel Office, suitable to serve the antitrust purpose pursued – here the restriction of a distribution cartel – in favor of creating competitive offers in timber marketing. However, the catalog of commitments is only effective in its entirety and in the interplay of limiting cooperative marketing to non-marketable forest areas, not hindering the establishment of non-state marketing cooperations, and the simultaneous obligation to demonstrate pilot projects to strengthen independent private and municipal marketing without the involvement of the state forestry administration. Forestry enterprises or forestry operating communities with forest areas above the threshold values mentioned under Section II.1 for general marketing cooperations with state involvement are, according to the investigations of the Federal Cartel Office, marketable and are fundamentally to be excluded from bundled timber marketing under state management.</w:t>
        <w:br/>
        <w:t>7. It is also ensured that the pilot projects with the cooperating areas must be located within the aforementioned antitrust limits of cooperative timber marketing and thus below the threshold of marketability. The pilot projects are only suitable if they do not constitute a violation of § 1 GWB or would be exemptible under §§ 2 ff. GWB or fall under the exception provision of § 40 BWaldG.</w:t>
        <w:br/>
        <w:t>8. Below the mentioned thresholds, the Federal Cartel Office will not intervene against cooperative timber marketing in the interest of timber mobilization and while maintaining the principle of proportionality. Given the existing structure of forest owners with a multitude of non-marketable fragmented forest areas, there is also a recognized need for cooperation, particularly among small and medium-sized forest owners with the state forestry administration of Participant 1 or non-state marketing communities from a competition perspective. Small and very small forest owners face the decision to forgo marketing due to marketing costs and lack of market access. However, the bundling of timber marketing for non-marketable forest areas is in the public interest of sufficient timber mobilization, given the steadily growing and significant demand. Primarily and in the long term, it is important to strengthen and develop the marketability of private and municipal forest owners outside the state timber marketing system. The solution now found will significantly encourage the establishment of marketable forestry operating and marketing organizations within the aforementioned antitrust limits, among other things through the obligation to establish new or strengthen existing marketing organizations, which Participant 1 must fulfill within a reasonable timeframe as part of the pilot projects. The decision division expects clear impulses from this for the competitive loosening of the timber supply, a strengthening of non-state timber marketing, and a differentiation of timber sale prices. Given the traditional dominance of the state forestry administration in timber marketing, which is combined with state supervision under the respective state forestry laws and other service functions provided for by law – e.g., in the provision of forestry services – the obligation not to hinder non-state forest ownership by Participant 1, in conjunction with the other mentioned measures, is a suitable means to give non-state timber marketing broader scope.</w:t>
        <w:br/>
        <w:t>9. The commitments are indefinite for Participant 1 regarding the obligations mentioned under Sections II. 1. to 4. The obligations mentioned under Sections II. 5. and 6. lit a) and b) become effective upon delivery of the order and end with the expiration of the calendar year 2013 or, for the notification obligations mentioned under Section II.6. lit b), on January 31, 2014.</w:t>
      </w:r>
    </w:p>
    <w:p>
      <w:r>
        <w:t>- 15 -</w:t>
        <w:br/>
        <w:t>10. Furthermore, reference is made to the specification paper signed by Participant 1, which was received by the Federal Cartel Office on June 26, 2007.</w:t>
        <w:br/>
        <w:t>11. The decision division provided Participant 1 and the interveners with the opportunity to comment in writing on December 5, 2008, prior to the issuance of this order.</w:t>
        <w:br/>
        <w:t>12. The decision division therefore declares the commitments binding within its discretion and terminates the proceedings against the affected party, subject to its powers contained in § 32 b Abs. 2 GWB.</w:t>
        <w:br/>
        <w:t>B. Fees</w:t>
        <w:br/>
        <w:t>[ ... ]</w:t>
        <w:br/>
        <w:t>C. Legal remedy information</w:t>
        <w:br/>
        <w:t>[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