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https://www.bundeskartellamt.de/SharedDocs/Entscheidung/DE/Entscheidungen/Kartellverbot/2008/B2-90-01-4.pdf?__blob=publicationFile&amp;v=3</w:t>
      </w:r>
    </w:p>
    <w:p>
      <w:r>
        <w:t>Pages translated : 14</w:t>
      </w:r>
    </w:p>
    <w:p/>
    <w:p>
      <w:r>
        <w:rPr>
          <w:b/>
        </w:rPr>
        <w:t>[Pages 1–3]</w:t>
      </w:r>
    </w:p>
    <w:p>
      <w:r>
        <w:t xml:space="preserve">Bundeskartellamt  </w:t>
        <w:br/>
        <w:t xml:space="preserve">2. Decision Division  </w:t>
        <w:br/>
        <w:t xml:space="preserve">B 2 – 90/01- 4  </w:t>
        <w:br/>
        <w:t xml:space="preserve">Decision  </w:t>
        <w:br/>
        <w:t xml:space="preserve">In the administrative procedure  </w:t>
        <w:br/>
        <w:t xml:space="preserve">1. Federal State of Baden-Württemberg  </w:t>
        <w:br/>
        <w:t xml:space="preserve">represented by the  </w:t>
        <w:br/>
        <w:t xml:space="preserve">Ministry of Food and Rural Affairs  </w:t>
        <w:br/>
        <w:t xml:space="preserve">Baden-Württemberg  </w:t>
        <w:br/>
        <w:t xml:space="preserve">Kernerplatz 10  </w:t>
        <w:br/>
        <w:t xml:space="preserve">70182 Stuttgart  </w:t>
        <w:br/>
        <w:t xml:space="preserve">- Participant -  </w:t>
        <w:br/>
        <w:t xml:space="preserve">[...]  </w:t>
        <w:br/>
        <w:t xml:space="preserve">for violation of § 1 of the Act against Restraints of Competition (GWB)  </w:t>
        <w:br/>
        <w:t xml:space="preserve">and Article 81 of the Treaty establishing the European Community (EC) by the  </w:t>
        <w:br/>
        <w:t xml:space="preserve">participant 1, the 2nd Decision Division of the Federal Cartel Office has decided on December 9, 2008, in accordance with § 32 b GWB:  </w:t>
        <w:br/>
        <w:t xml:space="preserve">1. The commitments offered by participant 1, dated November 6, 2008, as reproduced in Section II. of this order, are binding for the participant.  </w:t>
        <w:br/>
        <w:t xml:space="preserve">2. The proceedings against participant 1 are terminated in accordance with § 32 b paragraph 1 sentence 2 GWB.  </w:t>
        <w:br/>
        <w:t>3. The fee for this procedure, including this decision, is set at [...] EUR and imposed on participant 1.</w:t>
      </w:r>
    </w:p>
    <w:p>
      <w:r>
        <w:t xml:space="preserve">- 2 -  </w:t>
        <w:br/>
        <w:t xml:space="preserve">Reasons:  </w:t>
        <w:br/>
        <w:t xml:space="preserve">I. Facts  </w:t>
        <w:br/>
        <w:t xml:space="preserve">Participant 1 manages, as the highest forestry authority of the state of Baden-Württemberg, indirectly through the government presidencies of Freiburg and Tübingen as well as through the lower forestry authorities (district offices, mayor's offices of urban districts), approximately 329,000 hectares of state forest, accounting for about 24% of the state forest area. The raw timber harvest from the forest area owned by the state amounted to approximately 2.5 million solid cubic meters (hereinafter: scm) in 2007, of which 2.1 million scm were marketed. In addition, participant 1 conducts timber marketing for private and municipal forest owners on a contractual basis and for a fee. In doing so, it consolidates the raw timber quantities available for marketing from state, private, and corporate forests into a uniform offer and sells them to wood-processing buyers such as sawmills, the paper industry, biomass power plants, etc. Together with the timber sales for third parties amounting to approximately [...] million scm, the total raw timber quantity marketed by the state forestry administration was [...] million scm, which is approximately [...] % of the raw timber supply originating from Baden-Württemberg in 2007. The comprehensive bundling of the raw timber quantities available for marketing in the territory under the active moderation of participant 1 enables it to determine the market situation comprehensively in terms of both supply (quantity) and pricing. Not least, participant 1 has a statewide organization and personnel infrastructure that small and micro forest owners rely on due to insufficient marketing knowledge. The Federal Cartel Office is not aware of any state cooperation by participant 1 with other federal states in timber marketing. Rather, the restriction of cooperative marketing offers to the territory of a federal state (here participant 1) is, to the knowledge of the Federal Cartel Office, common practice in all federal states with state forest ownership. The Decision Division therefore assumes that the spatial market is predominantly limited by the administrative boundaries of the state of Baden-Württemberg, even if a smaller part of the raw timber supply – particularly in locations adjacent to other federal states – is sourced "cross-border."  </w:t>
        <w:br/>
        <w:t xml:space="preserve">In a letter dated October 10, 2001, to the Federal Cartel Office, participant 2 challenged the timber marketing described above in Baden-Württemberg and other federal states and essentially argued that the bundling of the harvested raw timber quantities for marketing to the processing sawmills leads to a standardization of sales prices and conditions for the vast majority of the timber quantities available for sale. This forces buyers to conduct price and sales negotiations almost exclusively with the representatives of the respective state forestry administration. The few remaining timber suppliers who do not market through the state forestry administration also align themselves with the price guidelines of the state forestry administration. Thus, supplier competition is almost completely excluded.  </w:t>
        <w:br/>
        <w:t xml:space="preserve">The Federal Cartel Office initially initiated a general investigation procedure due to the suspicion of the formation of an unlawful distribution cartel under § 1 GWB and Article 81 EC and, by letter dated November 6, 2001, requested the then Federal Ministry for Consumer Protection, Food and Agriculture (BMVEL) to work towards a change in this practice within the framework of federal-state coordination. The BMVEL referred in a letter dated December 12, 2002, to the exclusive responsibility of the states for the distribution of raw timber.  </w:t>
        <w:br/>
        <w:t xml:space="preserve">Subsequently, the Federal Cartel Office opened a prohibition procedure – initially against the most significant timber marketing states Baden-Württemberg, Bavaria, North Rhine-Westphalia, Thuringia, and Rhineland-Palatinate – and issued information decisions dated March 19, 2003, to the mentioned states, their municipal associations, private forest owners, and wood-processing companies regarding timber marketing practices. The results supported the suspicion of a cartel law-violating practice of timber marketing, which was associated with the bundling of sales quantities from state and non-state suppliers and significantly restricted supplier competition.  </w:t>
        <w:br/>
        <w:t xml:space="preserve">The proceedings against the federal state of Bavaria were subsequently terminated because the Bavarian State Forests AöR, as a state forestry operation, markets its timber exclusively itself and outside any cooperation with non-state forest owners.  </w:t>
        <w:br/>
        <w:t>Following this, the Federal Cartel Office held several discussions with the representative of the Free State of Thuringia, who at that time chaired the Conference of Forestry Ministers of the States, to influence a change in the marketing practice. In a meeting on July 19, 2004, the representative of Thuringia – also on behalf of the other involved federal states – presented a joint position paper to explain the future marketing practice in order to alleviate the concerns of the Federal Cartel Office. The Federal Cartel Office then sent a clarifying letter to the representative of Thuringia on December 23, 2004, outlining the cartel law-compliant principles of the future marketing practice of the involved federal states.</w:t>
      </w:r>
    </w:p>
    <w:p>
      <w:r>
        <w:rPr>
          <w:b/>
        </w:rPr>
        <w:t>[Pages 4–6]</w:t>
      </w:r>
    </w:p>
    <w:p>
      <w:r>
        <w:t>1. die konkreten Projekte, die er initiieren und begleiten möchte, sowie die Ziele und Maßnahmen, die er zur Unterstützung dieser Projekte ergreifen wird. Diese Projekte sollen dazu dienen, die Wettbewerbsfähigkeit der privaten und kommunalen Holzvermarktungskooperationen zu stärken und deren Marktanteile zu erhöhen.</w:t>
      </w:r>
    </w:p>
    <w:p>
      <w:r>
        <w:t>6. Berichtspflichten</w:t>
        <w:br/>
        <w:t>Der Beteiligte zu 1. verpflichtet sich, dem Bundeskartellamt jährlich bis zum 31. Januar des Folgejahres einen Bericht über die Umsetzung der Verpflichtungen gemäß § 32 b GWB vorzulegen. In diesem Bericht sind insbesondere die Fortschritte bei der Umsetzung der Maßnahmen zur Förderung der Professionalisierung privater und kommunaler Holzvermarktungskooperationen sowie die Ergebnisse der Pilotprojekte darzustellen.</w:t>
      </w:r>
    </w:p>
    <w:p>
      <w:r>
        <w:t>7. Schlussbestimmungen</w:t>
        <w:br/>
        <w:t>Die Verpflichtungen des Beteiligten zu 1. gelten für die Dauer von fünf Jahren ab Zustellung dieser Verfügung. Eine Verlängerung der Verpflichtungen kann auf Antrag des Beteiligten zu 1. und nach Prüfung durch das Bundeskartellamt erfolgen. Änderungen oder Ergänzungen dieser Verpflichtungen bedürfen der Schriftform und der Zustimmung des Bundeskartellamtes.</w:t>
      </w:r>
    </w:p>
    <w:p>
      <w:r>
        <w:rPr>
          <w:b/>
        </w:rPr>
        <w:t>[Pages 7–9]</w:t>
      </w:r>
    </w:p>
    <w:p>
      <w:r>
        <w:t>- 7 -</w:t>
        <w:br/>
        <w:t>1. within a period of five calendar years after the delivery of this order, in coordination with the associations of the other types of forest ownership, to propose to the Federal Cartel Office at least five suitable pilot projects. The aforementioned period begins with the calendar year 2009 and ends with the expiration of the calendar year 2013. Suitable pilot projects are considered to be initiatives aimed at one of the following measures:</w:t>
        <w:br/>
        <w:t>a) The establishment of a cooperation with the initial inclusion of independent marketing for all members;</w:t>
        <w:br/>
        <w:t>b) the reorganization or expansion of a cooperation as well as the merger of existing cooperations, provided that this results in the initial inclusion of independent timber marketing for the reorganized, expanded, or merged cooperation as a whole, i.e., for all participating forest owners/forestry operations;</w:t>
        <w:br/>
        <w:t>c) the expansion of an already existing and independently marketing cooperation by including additional individual forestry operations that have so far marketed through the state system, provided that the forest areas transferred to independent marketing by the receiving cooperation together make up at least half of the previous total forest area of the receiving cooperation;</w:t>
        <w:br/>
        <w:t>d) the merger of several already existing and partially independently marketing cooperations, provided that at least one of them only exits the state marketing system with the merger/combination;</w:t>
        <w:br/>
        <w:t>e) the initial inclusion of a fully or at least predominantly independent marketing – under its own management and separating the timber sales quantities of the members from those of the participant 1. – by an already existing cooperation that is still fully or predominantly marketing through the state marketing system without changing the organization or the membership of the cooperation.</w:t>
      </w:r>
    </w:p>
    <w:p>
      <w:r>
        <w:t>- 8 -</w:t>
        <w:br/>
        <w:t>The naming of the pilot projects includes the designation of a contact person from participant 1, with address, telephone, fax number, and email address, which should be provided together with the overviews to be submitted according to Section II. 6.</w:t>
        <w:br/>
        <w:t>6. Monitoring</w:t>
        <w:br/>
        <w:t>a) Participant 1 will notify the Federal Cartel Office of existing and (e.g., in connection with a successive supply contract) not yet fully settled marketing cooperations on a case-by-case basis according to Section II. 2, in which he or the forestry authorities and other agencies under his supervision are involved, no later than three months after the delivery of this order. Future marketing cooperations on a case-by-case basis according to Section II. 2 involving participant 1 or the forestry authorities and other agencies subordinate to him will be reported to the Federal Cartel Office immediately after the conclusion of the contract with the respective purchaser. The notification of marketing cooperations on a case-by-case basis should include the following information:</w:t>
        <w:br/>
        <w:t>• Company and address of the purchaser</w:t>
        <w:br/>
        <w:t>• Total delivery volume by quantity (cubic meters) and value (EUR)</w:t>
        <w:br/>
        <w:t>• Delivery period</w:t>
        <w:br/>
        <w:t>• Contracting supplier (state forestry administration/forestry authority or other agency) and the expected share of this supplier by quantity (cubic meters) and value (EUR)</w:t>
        <w:br/>
        <w:t>• Expected number of additional suppliers, categorized by private forestry companies, municipal forestry companies, and forestry cooperations (associations),</w:t>
        <w:br/>
        <w:t>• Names and addresses of private and municipal forestry companies as well as forestry cooperations (associations) that are to be involved in the marketing cooperation on a case-by-case basis and that exceed the threshold values according to item II.1 of this commitment declaration,</w:t>
      </w:r>
    </w:p>
    <w:p>
      <w:r>
        <w:t>- 9 -</w:t>
        <w:br/>
        <w:t>• Brief justification for fulfilling the admissibility requirements mentioned above in Section II. 2.</w:t>
      </w:r>
    </w:p>
    <w:p>
      <w:r>
        <w:t>b) Participant 1 undertakes to report to the Federal Cartel Office, for the calendar year 2008, no later than three months after the delivery of this order, and for the following calendar years by January 31 of the subsequent year, all supply contracts with a delivery volume of more than 1,000 cubic meters, which were serviced within the framework of marketing cooperations involving the affected forestry authorities or other agencies, by means of annual overviews. The overviews should include the following information for each of these contracts:</w:t>
        <w:br/>
        <w:t>• Company and address of the purchaser</w:t>
        <w:br/>
        <w:t>• Case category: General marketing cooperation (above Section II.1) or marketing cooperation on a case-by-case basis (above Section II.2)</w:t>
        <w:br/>
        <w:t>• Contract duration</w:t>
        <w:br/>
        <w:t>• Contract volume separately (i) by round timber, industrial wood, and energy/forest residual wood each by quantity (cubic meters) and value (EUR) as well as (ii) by types of forest ownership indicating the number of forestry companies involved per type of forest ownership</w:t>
        <w:br/>
        <w:t>• The three largest private and municipal forestry companies by delivery share and forest area.</w:t>
      </w:r>
    </w:p>
    <w:p>
      <w:r>
        <w:t>c) The information according to items a) and b) will be kept in a verifiable manner. The overviews may also be submitted as summarized statistical evaluations in consultation with the Federal Cartel Office. The Federal Cartel Office may request further relevant information based on the data material submitted to it.</w:t>
        <w:br/>
        <w:t>III.</w:t>
        <w:br/>
        <w:t>A. Legal Assessment</w:t>
        <w:br/>
        <w:t>1. Agreements or coordinated behavior of suppliers who are in competition with each other regarding the joint ("bundled") sale of timber at uniform prices and/or conditions (sales cartels or "syndicates") fall under the rules of competition law.</w:t>
      </w:r>
    </w:p>
    <w:p>
      <w:r>
        <w:rPr>
          <w:b/>
        </w:rPr>
        <w:t>[Pages 10–12]</w:t>
      </w:r>
    </w:p>
    <w:p>
      <w:r>
        <w:t>- 10 -</w:t>
        <w:br/>
        <w:t>the cartel prohibition. This also applies in accordance with § 130 Abs. 1 Sentence 1 GWB to the activities of public law corporations, insofar as they participate as suppliers or buyers in general economic transactions. The bundling of the timber supply is also subject to the cartel prohibition if the horizontal coordination of behavior among the offering forestry companies arises solely from the fact that they conclude formally separate but consciously and intentionally identical vertical supply contracts with the buyers regarding prices and conditions, and this is based on corresponding framework agreements of one of the participating suppliers with the buyers, as is commonly the case in cross-ownership timber marketing under the direction and participation of the state forestry administrations/operations. The participant 1. also organizes its timber marketing in this manner.</w:t>
      </w:r>
    </w:p>
    <w:p>
      <w:r>
        <w:t>2. Agreements and coordinated behaviors of the aforementioned type do not violate the cartel prohibition if and to the extent that the participating companies are unable to fulfill certain supply orders on their own, for example, due to insufficient size (so-called "joint venture concept"), or if the competition restriction intended or achieved by their agreement is not suitable, in terms of extent (i.e., quantitatively, e.g.: circle of participants, market share) and/or intensity (i.e., qualitatively, e.g.: agreements only on joint advertising, but not on prices), to influence market conditions in a noticeable way for other competitors or the market counterpart (in the case of sales cartels: the buyers) (noticeability requirement). The Federal Cartel Office assumes based on its findings from the roundwood procedure that, in any case, in the comprehensive cross-ownership timber marketing cooperations involving and directed by the state forestry administration of participant 1, in view of the size of the state forests and the number of participating forestry companies, neither the prerequisites of the joint venture concept are met nor is noticeability excluded.</w:t>
      </w:r>
    </w:p>
    <w:p>
      <w:r>
        <w:t>3. The applicability of antitrust law is not restricted by the special legal regulation of other federal legal provisions – here: § 40 Abs. 1 Federal Forest Act (BWaldG) – according to which § 1 GWB does not apply to resolutions of associations of forestry producer enterprises, recognized forestry cooperatives, and forestry business associations, insofar as they concern forestry production and the marketing of forestry products. The typical cross-ownership bundled timber marketing under the direction and participation of the state forestry administration does not take place in the organizational forms of forestry cooperations ("associations") covered by this provision, but through a power of attorney to the forestry authority of participant 1 or through their mediation. Associations in the sense of § 40 BWaldG are not formed for this purpose. Rather, it is a contractual system that – as described above in 1. – represents a network of parallel vertical contracts that are agreed upon with an identical partner, here participant 1 as the highest state forestry authority. As star contracts, they fall under § 1 GWB if the multitude of identical agreements takes on a horizontal character. This is the case here. The common objective of all participants – forestry administration and forest owners – is the joint sale of timber under the organizational and price-setting leadership of the forestry administration of participant 1. This requires a targeted and intentional collaboration between the forestry authority and a multitude of forest owners in such a way that the quantities of timber available for sale from state and non-state forest ownership are bundled, thus enabling marketing at all. On the other hand, the bundling of a multitude of small quantities with the raw timber harvested from the state forest and available for sale in one hand (here: approx. 60% of the raw timber quantities marketed statewide) creates a supply volume that has a significant influence on price determination. The bundling of timber supply quantities to be assessed here is therefore to be evaluated in terms of § 1 GWB and Art. 81 EC.</w:t>
      </w:r>
    </w:p>
    <w:p>
      <w:r>
        <w:t>4. An exemption of the timber marketing cartel under § 2 GWB or Art. 81 Abs. 3 EC is also not possible, as several of the mentioned exemption requirements (improvement of the production or distribution of goods, passing on benefits to consumers, no elimination of competition for a substantial part of the relevant goods) are not met. An improvement in the production of goods can only be affirmed for the quantities of supply that are below marketability. The market dominance of the state forestry authority, which directly influences the sale prices for more than half of the timber supply, gives it significant opportunities to exclude price competition against competitors and buyers.</w:t>
      </w:r>
    </w:p>
    <w:p>
      <w:r>
        <w:t>- 12 -</w:t>
        <w:br/>
        <w:t>The sawmills as processing buyers of roundwood do not naturally benefit from this, as supplier competition is almost completely excluded and participant 1, through the bundling of quantities and its own market significance, also significantly influences the market behavior of the other market participants.</w:t>
      </w:r>
    </w:p>
    <w:p>
      <w:r>
        <w:t>5. The prerequisites for legalizing a small business cartel under § 3 GWB are also not present, as the present supplier cartel has the character of a comprehensive large cartel that covers approximately [...] % of the raw timber quantities marketed under state direction in the territory of participant 1 through the bundling of supply quantities. Competition in the timber sales market in Baden-Württemberg is thus significantly impaired. The supplier cartel also does not serve to improve the competitiveness of small or medium-sized enterprises, as especially the non-marketable small and micro forest owners leave their marketing to the state forestry administration of participant 1, thus not increasing their own marketing competence. Only the association into forestry cooperatives without state participation is the legally privileged path under antitrust law via § 40 Abs. 1 BWaldG.</w:t>
      </w:r>
    </w:p>
    <w:p>
      <w:r>
        <w:t>6. § 32 b GWB provides the cartel authority with the possibility to declare commitments offered by companies binding by decree if they are suitable to eliminate the concerns communicated in the preliminary assessment against an agreement covered by § 1 GWB. The commitments offered by participant 1 during the proceedings are, in the opinion of the Federal Cartel Office, suitable to serve the antitrust purpose – here the restriction of a distribution cartel – in favor of creating competitive offers in timber marketing. However, the catalog of obligations is only effective in its entirety and in the interplay of limiting cooperative marketing to non-marketable forest areas, not hindering the establishment of non-state marketing cooperations, and the simultaneous obligation to demonstrate pilot projects to strengthen independent private and municipal marketing without the involvement of the state forestry administration. Forestry operations or forestry cooperatives with forest areas above the thresholds mentioned under Section II.1 for general marketing cooperations with</w:t>
      </w:r>
    </w:p>
    <w:p>
      <w:r>
        <w:rPr>
          <w:b/>
        </w:rPr>
        <w:t>[Pages 13–14]</w:t>
      </w:r>
    </w:p>
    <w:p>
      <w:r>
        <w:t>- 13 -</w:t>
        <w:br/>
        <w:t>State participation in marketing cooperatives is, according to the investigations of the Federal Cartel Office, marketable and fundamentally to be excluded from the bundled timber marketing under state management.</w:t>
        <w:br/>
        <w:t>7. It is also ensured that the pilot projects with the cooperating areas must be located within the aforementioned antitrust limits of cooperative timber marketing and thus below the threshold of marketability. The pilot projects are only suitable if they do not constitute a violation of § 1 GWB or would be exemptible under §§ 2 et seq. GWB or fall under the exception provision of § 40 BWaldG.</w:t>
        <w:br/>
        <w:t>8. Below the mentioned thresholds, the Federal Cartel Office will not intervene against cooperative timber marketing in the interest of timber mobilization and while maintaining the principle of proportionality. Given the existing structure of forest ownership with a multitude of non-marketable fragmented forest areas, there is also a recognized need for cooperation, particularly among small and medium-sized forest owners, with the state forestry administration of the participant referred to as 1 or non-state marketing cooperatives. Small and micro forest owners face the decision to forgo marketing due to marketing costs and lack of market access. However, the bundling of timber marketing for non-marketable forest areas is in the public interest of sufficient timber mobilization, considering the steadily growing and significant demand. However, primarily and in the long term, it is important to strengthen and develop the marketability of private and municipal forest owners outside the state timber marketing system. The solution now found will further stimulate the establishment of marketable forestry operations and marketing organizations within the aforementioned antitrust limits, among other things, through the obligation to establish new or strengthen existing marketing organizations, which the participant referred to as 1 must fulfill within a reasonable timeframe as part of the pilot projects. The decision-making department expects significant impulses from this for the competitive loosening of the timber supply, a strengthening of non-state timber marketing, and a differentiation of timber sales prices. Given the traditional dominance of the state forestry administration in timber marketing, which is combined with state supervision according to the respective state forestry laws and other service functions provided for by law – e.g., in the provision of forestry services – the obligation of the participant referred to as 1 not to hinder non-state forest ownership, in conjunction with the other mentioned measures, is a suitable means to give non-state timber marketing broader scope.</w:t>
        <w:br/>
        <w:t>9. The commitment declarations are indefinite for the participant referred to as 1 regarding the obligations mentioned in Sections II. 1 to 4. The obligations mentioned in Sections II. 5 and 6 lit. a) and b) become effective upon delivery of the order and end with the expiration of the calendar year 2013, or for the reporting obligations mentioned in Section II. 6 lit. b) on January 31, 2014.</w:t>
        <w:br/>
        <w:t>10. Furthermore, reference is made to the specification paper signed by the participant referred to as 1 dated August 17, 2007.</w:t>
        <w:br/>
        <w:t>11. The decision-making department has given the participant referred to as 1 and the interveners the opportunity to comment in writing on October 6, 2008, prior to the issuance of this order.</w:t>
        <w:br/>
        <w:t>12. Therefore, the decision-making department declares the commitment declarations binding within the scope of its discretion and terminates the proceedings against the affected party, subject to its powers contained in § 32 b Abs. 2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