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https://www.bundeskartellamt.de/SharedDocs/Entscheidung/DE/Fallberichte/Fusionskontrolle/2021/B2-92-21.pdf;jsessionid=1DB86D8A56A8D909BE60C420435A7A66.1_cid378?__blob=publicationFile&amp;v=3</w:t>
      </w:r>
    </w:p>
    <w:p>
      <w:r>
        <w:t>Pages translated : 3</w:t>
      </w:r>
    </w:p>
    <w:p/>
    <w:p>
      <w:r>
        <w:rPr>
          <w:b/>
        </w:rPr>
        <w:t>[Pages 1–3]</w:t>
      </w:r>
    </w:p>
    <w:p>
      <w:r>
        <w:t xml:space="preserve">Case Report December 16, 2021  </w:t>
        <w:br/>
        <w:t xml:space="preserve">Approval of the planned acquisition of Hansa-Heemann by Refresco  </w:t>
        <w:br/>
        <w:t xml:space="preserve">Industry: Beverage Manufacturing  </w:t>
        <w:br/>
        <w:t xml:space="preserve">File Number: B2 – 92/21  </w:t>
        <w:br/>
        <w:t>Date of Approval: December 13, 2021</w:t>
      </w:r>
    </w:p>
    <w:p>
      <w:r>
        <w:t>The Federal Cartel Office has approved the acquisition of Hansa-Heemann AG, Rellingen ("Hansa-Heemann") by Refresco Holding B.V., Rotterdam ("Refresco"), concerning the affected German markets. Although Refresco claims to be the largest independent bottler of soft drinks and fruit juices for retail and brand companies, and Hansa-Heemann is one of the leading providers of mineral water and soft drinks in Germany, the investigations by the Federal Cartel Office have shown that Hansa-Heemann and Refresco are not the closest competitors, and even under the strictest factual market definition, no significant deterioration of competition in the affected markets is to be expected.</w:t>
      </w:r>
    </w:p>
    <w:p>
      <w:r>
        <w:t>The merger project, which falls under the jurisdiction of the European Commission, was referred to the Federal Cartel Office at the request of the parties concerning the affected German markets. The merger project is currently being examined by the European Commission for the other affected markets in the Netherlands and Poland. The Federal Cartel Office began its investigations upon receipt of the referral decision. However, the merger control deadlines only commenced with the completion of the information required under § 39 Abs. 3 GWB on November 11, 2021.</w:t>
      </w:r>
    </w:p>
    <w:p>
      <w:r>
        <w:t>Refresco and Hansa-Heemann operate in the field of bottling non-alcoholic beverages. According to its own statements, the Refresco Group is the world's largest independent bottler of soft drinks and fruit juices for retail and brand companies, with production facilities in Europe, North America, and Mexico. It produces an annual volume of approximately 11 billion liters and generates a revenue of around 3.9 billion euros. Hansa-Heemann is one of the leading providers of mineral water and soft drinks in Germany, with an annual revenue of around 300 million euros.</w:t>
      </w:r>
    </w:p>
    <w:p>
      <w:r>
        <w:t>The Federal Cartel Office examined the competitive effects of the merger project in terms of various segments of beverage bottling. It became apparent that the parties involved have a strong market position, particularly in the bottling of water and soft drinks (such as lemonades, cola drinks, and bitter drinks) in PET packaging under private labels. Therefore, the Federal Cartel Office focused its examination more intensively on this segment and, as part of the investigations, interviewed the key buyers in the grocery retail sector ("LEH") and the competitors identified by the merger parties. Furthermore, the merger also affects the areas of sports and energy drinks as well as ready-to-drink tea beverages.</w:t>
      </w:r>
    </w:p>
    <w:p>
      <w:r>
        <w:t>Geographically, the Federal Cartel Office examined the merger project based on both a nationwide market in Germany and under the assumption of regional markets. Refresco bottles the beverages affected by the merger almost exclusively in Erftstadt, which is approximately 240 km away from the nearest location of Hansa-Heemann in Löhne. Since the delivery ranges for beverages sold under private labels are typically limited, there are only minor overlaps between the business activities of the merger parties when viewed regionally.</w:t>
      </w:r>
    </w:p>
    <w:p>
      <w:r>
        <w:t>In a nationwide assessment and under the strictest factual market definition – water and soft drinks each in PET packaging as private labels for the LEH – the merger parties achieve relatively high market shares, which, however, remain below the presumption threshold for individual market dominance of 40% in all affected markets. Some LEH companies have expressed concerns about the increasing concentration in the affected markets and a potentially associated tendency towards rising purchase prices. Several interviewed competitors, on the other hand, expect increased competitive pressure and price reductions following the merger.</w:t>
      </w:r>
    </w:p>
    <w:p>
      <w:r>
        <w:t>Refresco and Hansa-Heemann are not the closest competitors in the German market. While Refresco is very well positioned internationally, it is not yet strongly present in the German market, particularly in the water sector. The merger complements the product ranges of the parties involved, and Refresco can significantly expand its market position. For the competitive assessment regarding the area of private labels, the remaining competitive pressure from a specialized company, which will continue to be a leader in the bottling of water in PET packaging under private labels after the merger, and other small mineral springs were relevant. Additionally, the available bottling capacities in the market and the purchasing power of the LEH, which partially has its own bottling plants, had to be taken into account.</w:t>
      </w:r>
    </w:p>
    <w:p>
      <w:r>
        <w:t>After the merger, Refresco will have bottling facilities distributed throughout Germany. This enables Refresco to supply LEH companies almost nationwide, which could pose a disadvantage for regionally operating mineral springs. However, the investigations have shown that particularly for water, regional sourcing strategies can also be successful. This reduces the dependence of the LEH on large bottling companies and can contribute to more sustainable supply through shorter transport routes.</w:t>
      </w:r>
    </w:p>
    <w:p>
      <w:r>
        <w:t>In a joint consideration of private labels and manufacturer brands, the project appeared unproblematic, as a larger number of companies with their brands are present in the affected product areas. The market shares of the parties involved were below 20% in all affected markets. Thus, the merger project could be approved after extensive investigations within the first phase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