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http://www.bundeskartellamt.de/SharedDocs/Entscheidung/DE/Fallberichte/Fusionskontrolle/2013/B3-102-13.pdf?__blob=publicationFile&amp;v=4</w:t>
      </w:r>
    </w:p>
    <w:p>
      <w:r>
        <w:t>Pages translated : 2</w:t>
      </w:r>
    </w:p>
    <w:p/>
    <w:p>
      <w:r>
        <w:rPr>
          <w:b/>
        </w:rPr>
        <w:t>[Pages 1–2]</w:t>
      </w:r>
    </w:p>
    <w:p>
      <w:r>
        <w:t>Case Report October 18, 2013</w:t>
        <w:br/>
        <w:t>Merger Control Clearance for the Acquisition of 25% of the Shares of Rhön Klinikum by Braun Melsungen</w:t>
        <w:br/>
        <w:t>Sector: Acute Care Hospitals and Rehabilitation Facilities as well as Medical Products</w:t>
        <w:br/>
        <w:t>File Number: B3 – 102/13</w:t>
        <w:br/>
        <w:t>Date of Decision: October 10, 2013</w:t>
        <w:br/>
        <w:t>After extensive investigations, the Federal Cartel Office has cleared the acquisition of 25% of the shares in Rhön Klinikum AG, Bad Neustadt a. d. Saale, (hereinafter: Rhön) by B. Braun Melsungen AG and B. Braun Holding GmbH &amp; Co. KG (hereinafter collectively: Braun) in the first phase. This vertical merger does not lead to a significant impediment to effective competition, particularly not to the creation or strengthening of a dominant market position, as there is no foreclosure of customers or suppliers expected as a result of the minority stake.</w:t>
        <w:br/>
        <w:t>Since Braun is not active in the markets for inpatient hospital treatment, inpatient rehabilitation facilities, or outpatient medical treatment like Rhön, this was not a horizontal merger of competitors. As a manufacturer of medical products, Braun operates in the upstream markets related to these products. Such vertical merger projects can have competition-restricting effects if they enable the involved companies to hinder current or potential competitors at the upstream or downstream market level. The Federal Cartel Office examined whether Braun's competitors in the upstream markets of the respective medical products would be foreclosed from the downstream sales market ("customer foreclosure") or whether Rhön's competitors in the downstream market for the operation of acute hospitals or rehabilitation facilities or medical care centers would be foreclosed from obtaining medical products ("input foreclosure"). The investigations revealed that contrary to the concerns expressed by some competitors, such competition-restricting effects are not expected.</w:t>
        <w:br/>
        <w:t>As far as Braun's competitors are concerned, the investigations found neither the possibility nor the incentive for Braun to pursue a foreclosure strategy. On the one hand, the intended minority stake of Braun will not grant any actual influence over Rhön's purchasing decisions. On the other hand, the investigations revealed that given Rhön's limited demand volume, no foreclosure of competitors is expected, and there is also no economic incentive for Braun to do so. This holds true even in the eleven markets for medical products where Braun has nationwide market shares of more than 30%.</w:t>
        <w:br/>
        <w:t>Regarding the possibilities of foreclosing Rhön's competitors from the supply of medical products by Braun or from being supplied at higher prices, the investigations found that equivalent alternative options are available in the market for all affected medical products. Furthermore, the total revenues from the affected medical products account for only a fraction of the total operating costs of a hospital. Finally, there is also no incentive for Braun to pursue such a foreclosure strategy, as such behavior does not seem reasonable in light of the expected loss of revenue. Therefore, the project could be cleared in the preliminary examination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