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https://www.bundeskartellamt.de/SharedDocs/Entscheidung/DE/Entscheidungen/Fusionskontrolle/2012/B3-113-12.pdf;jsessionid=0E1CD244EB22A821C48615CF4A304728.2_cid390?__blob=publicationFile&amp;v=3</w:t>
      </w:r>
    </w:p>
    <w:p>
      <w:r>
        <w:t>Pages translated : 43</w:t>
      </w:r>
    </w:p>
    <w:p/>
    <w:p>
      <w:r>
        <w:rPr>
          <w:b/>
        </w:rPr>
        <w:t>[Pages 1–3]</w:t>
      </w:r>
    </w:p>
    <w:p>
      <w:r>
        <w:t xml:space="preserve">3. Decision Division  </w:t>
        <w:br/>
        <w:t xml:space="preserve">B 3 – 113/12  </w:t>
        <w:br/>
        <w:t xml:space="preserve">MERGER CONTROL PROCEDURE  </w:t>
        <w:br/>
        <w:t xml:space="preserve">ORDER PURSUANT TO § 40 PARA. 2 GWB  </w:t>
        <w:br/>
        <w:t xml:space="preserve">– intended for publication –  </w:t>
        <w:br/>
        <w:t xml:space="preserve">Decision  </w:t>
        <w:br/>
        <w:t xml:space="preserve">In the administrative procedure  </w:t>
        <w:br/>
        <w:t xml:space="preserve">1. Becton Dickinson and Company  </w:t>
        <w:br/>
        <w:t xml:space="preserve">1 Becton Drive  </w:t>
        <w:br/>
        <w:t xml:space="preserve">Franklin Lakes, New Jersey, 07417-1880, USA  </w:t>
        <w:br/>
        <w:t xml:space="preserve">– Participant 1 –  </w:t>
        <w:br/>
        <w:t xml:space="preserve">Representatives:  </w:t>
        <w:br/>
        <w:t xml:space="preserve">Jones Day  </w:t>
        <w:br/>
        <w:t xml:space="preserve">Dr. Johannes Zöttl  </w:t>
        <w:br/>
        <w:t xml:space="preserve">Königsallee 61  </w:t>
        <w:br/>
        <w:t xml:space="preserve">40215 Düsseldorf  </w:t>
        <w:br/>
        <w:t xml:space="preserve">2. Safety Syringes Inc.  </w:t>
        <w:br/>
        <w:t xml:space="preserve">2875 Loker Avenue East  </w:t>
        <w:br/>
        <w:t xml:space="preserve">Carlsbad, CA, 92010, USA  </w:t>
        <w:br/>
        <w:t xml:space="preserve">– Participant 2 –  </w:t>
        <w:br/>
        <w:t xml:space="preserve">Representatives:  </w:t>
        <w:br/>
        <w:t xml:space="preserve">Glade Michel Wirtz  </w:t>
        <w:br/>
        <w:t xml:space="preserve">Dr. Markus Wirtz  </w:t>
        <w:br/>
        <w:t xml:space="preserve">Kasernenstraße 69  </w:t>
        <w:br/>
        <w:t xml:space="preserve">40213 Düsseldorf  </w:t>
        <w:br/>
        <w:t xml:space="preserve">3. Gerresheimer AG  </w:t>
        <w:br/>
        <w:t xml:space="preserve">Benrather Straße 18-20  </w:t>
        <w:br/>
        <w:t xml:space="preserve">40213 Düsseldorf  </w:t>
        <w:br/>
        <w:t xml:space="preserve">– Participant 3 –  </w:t>
        <w:br/>
        <w:t xml:space="preserve">Representatives:  </w:t>
        <w:br/>
        <w:t xml:space="preserve">Clifford Chance  </w:t>
        <w:br/>
        <w:t xml:space="preserve">Marc Besen  </w:t>
        <w:br/>
        <w:t xml:space="preserve">Königsallee 59  </w:t>
        <w:br/>
        <w:t xml:space="preserve">40416 Düsseldorf  </w:t>
        <w:br/>
        <w:t xml:space="preserve">4. Unilife  </w:t>
        <w:br/>
        <w:t xml:space="preserve">250 Cross Farm Lane  </w:t>
        <w:br/>
        <w:t xml:space="preserve">York, PA, USA 17406  </w:t>
        <w:br/>
        <w:t xml:space="preserve">– Participant 4 –  </w:t>
        <w:br/>
        <w:t xml:space="preserve">Representatives:  </w:t>
        <w:br/>
        <w:t xml:space="preserve">Squire Sanders LLP  </w:t>
        <w:br/>
        <w:t xml:space="preserve">Oliver Geiss  </w:t>
        <w:br/>
        <w:t xml:space="preserve">Taunusanlage 17  </w:t>
        <w:br/>
        <w:t xml:space="preserve">60325 Frankfurt a.M.  </w:t>
        <w:br/>
        <w:t xml:space="preserve">5. Schott AG  </w:t>
        <w:br/>
        <w:t xml:space="preserve">represented by the Executive Board  </w:t>
        <w:br/>
        <w:t xml:space="preserve">Hattenbergstraße 10  </w:t>
        <w:br/>
        <w:t xml:space="preserve">55122 Mainz  </w:t>
        <w:br/>
        <w:t xml:space="preserve">– Participant 5 –  </w:t>
        <w:br/>
        <w:t xml:space="preserve">6. Rexam Healthcare  </w:t>
        <w:br/>
        <w:t xml:space="preserve">20 Avenue de la Gare  </w:t>
        <w:br/>
        <w:t xml:space="preserve">38290 Verpillière (La), France  </w:t>
        <w:br/>
        <w:t xml:space="preserve">– Participant 6 –  </w:t>
        <w:br/>
        <w:t xml:space="preserve">Representatives:  </w:t>
        <w:br/>
        <w:t xml:space="preserve">Gide Loyrette Nouel  </w:t>
        <w:br/>
        <w:t xml:space="preserve">Christina Renner  </w:t>
        <w:br/>
        <w:t xml:space="preserve">Rue de l’Industrie 26-38  </w:t>
        <w:br/>
        <w:t xml:space="preserve">1040 Brussels  </w:t>
        <w:br/>
        <w:t xml:space="preserve">Belgium  </w:t>
        <w:br/>
        <w:t xml:space="preserve">Service representatives:  </w:t>
        <w:br/>
        <w:t xml:space="preserve">Orth Kluth Rechtsanwälte  </w:t>
        <w:br/>
        <w:t xml:space="preserve">Kaistraße 6  </w:t>
        <w:br/>
        <w:t xml:space="preserve">40221 Düsseldorf  </w:t>
        <w:br/>
        <w:t>for the examination of a merger project pursuant to § 36 of the Act against Restraints of Competition (GWB), the 3rd Decision Division of the Federal Cartel Office has decided on December 21, 2012:</w:t>
      </w:r>
    </w:p>
    <w:p>
      <w:r>
        <w:t xml:space="preserve">- 3 -  </w:t>
        <w:br/>
        <w:t xml:space="preserve">I. The merger project notified by letter dated July 18, 2012, regarding Becton, Dickinson and Company, Franklin Lakes, USA, to acquire 100% of the shares in Safety Syringes Inc., Carlsbad, USA, is approved.  </w:t>
        <w:br/>
        <w:t xml:space="preserve">II. The fee for this decision is set at € […] (in words: […] Euro), taking into account the separately determined fee of […] Euro for the notification of the merger project, and is imposed on Participants 1 and 2 as joint debtors. In this context, the separately determined fee of € […] for the notification of the merger project is credited to Participant 1.  </w:t>
        <w:br/>
        <w:t xml:space="preserve">A. FACTS  </w:t>
        <w:br/>
        <w:t xml:space="preserve">I. The Project  </w:t>
        <w:br/>
        <w:t xml:space="preserve">1. With the notification received by the Federal Cartel Office via fax on July 18, 2012, and completed by letter dated August 3, 2012, Becton, Dickinson and Company, Franklin Lakes, USA (hereinafter: “BD”) communicated its intention to merge its 100% subsidiary Surf City Inc. with Safety Syringes Inc., Carlsbad, USA (“SSI” or “the target company”). Following the planned merger, Surf City Inc. is to be merged into SSI, and BD will thereby hold all shares in SSI, which is to continue as a company.  </w:t>
        <w:br/>
        <w:t xml:space="preserve">II. The Participants in the Proceedings  </w:t>
        <w:br/>
        <w:t xml:space="preserve">1. Merger Participants  </w:t>
        <w:br/>
        <w:t xml:space="preserve">a) Acquirer  </w:t>
        <w:br/>
        <w:t>2. BD is a medical technology company that develops, produces, and distributes medical disposable products, device systems, and reagents to hospitals, clinical laboratories, and other customers. The BD corporate group (“BD Group”) is divided into three segments: BD Medical manufactures medical disposable products and injection and infusion technology, particularly prefilled syringes and needles. BD Diagnostics produces products for the safe collection and transport of diagnostic samples as well as</w:t>
      </w:r>
    </w:p>
    <w:p>
      <w:r>
        <w:rPr>
          <w:b/>
        </w:rPr>
        <w:t>[Pages 4–6]</w:t>
      </w:r>
    </w:p>
    <w:p>
      <w:r>
        <w:t>- 4 -</w:t>
        <w:br/>
        <w:t>BD Group ("BD Group") is divided into three segments: BD Medical manufactures medical disposable products and injection and infusion technology, particularly prefilled syringes and needles. BD Diagnostics produces products for the safe collection and transport of diagnostic samples as well as devices and reagents for the diagnosis of infectious diseases, nosocomial infections, and cancer. BD Biosciences develops and sells systems for basic and pharmaceutical research, vaccine development, biopharmaceutical production, and structured treatment programs.</w:t>
      </w:r>
    </w:p>
    <w:p>
      <w:r>
        <w:t>3. The consolidated revenue of the BD Group amounted to € 5.45 billion worldwide in the last completed financial year (ending: September 30, 2011), of which € […]. was attributable to the EU and of this, € […] was attributable to Germany.</w:t>
      </w:r>
    </w:p>
    <w:p>
      <w:r>
        <w:t>b) Target Company</w:t>
      </w:r>
    </w:p>
    <w:p>
      <w:r>
        <w:t>4. SSI develops, produces, and sells needle protection devices for prefilled syringes.</w:t>
      </w:r>
    </w:p>
    <w:p>
      <w:r>
        <w:t>5. The consolidated revenue of SSI amounted to € […] million in the last completed financial year (ending: April 30, 2012), of which € […] million was attributable to the EU and of this, € […] million was attributable to Germany.</w:t>
      </w:r>
    </w:p>
    <w:p>
      <w:r>
        <w:t>2. The Third Parties</w:t>
      </w:r>
    </w:p>
    <w:p>
      <w:r>
        <w:t>6. Gerresheimer AG ("Gerresheimer"), based in Düsseldorf, is a glass manufacturer that produces prefilled syringes made of glass among other products and supplies them to customers in the pharmaceutical industry. The company is thus a competitor of BD.</w:t>
      </w:r>
    </w:p>
    <w:p>
      <w:r>
        <w:t>7. Unilife Corporation ("Unilife"), York, USA manufactures medical instruments for the injection of medications that integrate prefilled syringes and needle protection devices into a single system. The company is therefore a competitor of BD and SSI.</w:t>
      </w:r>
    </w:p>
    <w:p>
      <w:r>
        <w:t>8. Schott AG ("Schott") is one of the world's largest producers of technical glasses and glass articles and is a manufacturer of prefilled syringes in this area. Thus, it is a competitor of BD.</w:t>
      </w:r>
    </w:p>
    <w:p>
      <w:r>
        <w:t>9. Rexam Healthcare ("Rexam") is a company that manufactures safety devices for prefilled syringes from other manufacturers. The company is therefore a competitor of BD and SSI in this area. Rexam Healthcare is a subsidiary of Rexam PLC based in London, one of the world's leading manufacturers of consumer goods packaging and beverage cans.</w:t>
      </w:r>
    </w:p>
    <w:p>
      <w:r>
        <w:t>III. Proceedings</w:t>
      </w:r>
    </w:p>
    <w:p>
      <w:r>
        <w:t>10. The complete application was received by the Federal Cartel Office on August 3, 2012.</w:t>
      </w:r>
    </w:p>
    <w:p>
      <w:r>
        <w:t>- 5 -</w:t>
        <w:br/>
        <w:t>11. By letter dated September 3, 2012, the decision-making division informed the representative of the acquirer pursuant to § 40 para. 1 sentence 1 GWB that it had entered into the examination of the merger (main examination procedure).</w:t>
      </w:r>
    </w:p>
    <w:p>
      <w:r>
        <w:t>12. After the merger parties had each been given the opportunity to comment, the following companies were joined to the proceedings at their respective requests:</w:t>
        <w:br/>
        <w:t>- Gerresheimer (request dated September 25, 2012), by decision dated October 2, 2012;</w:t>
        <w:br/>
        <w:t>- Unilife (request dated September 25, 2012), by decision dated October 2, 2012;</w:t>
        <w:br/>
        <w:t>- Schott (request dated October 24, 2012) by decision dated November 16, 2012;</w:t>
        <w:br/>
        <w:t>- Rexam (request dated November 12, 2012) by decision dated November 16, 2012.</w:t>
      </w:r>
    </w:p>
    <w:p>
      <w:r>
        <w:t>The merger parties and the third parties received access to the files via sent CD-ROM at their respective requests:</w:t>
        <w:br/>
        <w:t>- BD, SSI, Gerresheimer, and Unilife each by letters dated October 5, 2012, and November 23, 2012;</w:t>
        <w:br/>
        <w:t>- Schott and Rexam by letters dated November 23, 2012.</w:t>
      </w:r>
    </w:p>
    <w:p>
      <w:r>
        <w:t>In addition, the merger parties received non-confidential versions of the responses from surveyed companies by email dated November 30, 2012.</w:t>
      </w:r>
    </w:p>
    <w:p>
      <w:r>
        <w:t>13. BD and SSI agreed to an extension of the main examination procedure until December 18, 2012, by letter dated November 9, 2012 (§ 40 para. 2 sentence 4 no. 1 GWB).</w:t>
      </w:r>
    </w:p>
    <w:p>
      <w:r>
        <w:t>14. By letter dated December 6, 2012, the decision-making division informed the merger parties of its intention to prohibit the notified project due to the creation of a dominant market position in the market for needle protection devices for prefilled syringes with fixed needles. At the same time, the decision-making division granted the merger parties the opportunity to comment until December 13, 2012.</w:t>
      </w:r>
    </w:p>
    <w:p>
      <w:r>
        <w:t>15. Also by letter dated December 6, 2012, the decision-making division transmitted the draft decision to the third parties and granted them the opportunity to comment until December 13, 2012.</w:t>
      </w:r>
    </w:p>
    <w:p>
      <w:r>
        <w:t>16. By letter dated December 11, 2012, the merger parties first submitted documents to the decision-making division showing orders from or deliveries of needle protection devices for prefilled syringes with fixed needles to Germany in 2007.</w:t>
      </w:r>
    </w:p>
    <w:p>
      <w:r>
        <w:t>17. By letter dated December 14, 2012, BD and SSI agreed to a further extension of the main examination procedure until December 27, 2012 (§ 40 para. 2 sentence 4 no. 1 GWB).</w:t>
      </w:r>
    </w:p>
    <w:p>
      <w:r>
        <w:t>IV. Investigations</w:t>
      </w:r>
    </w:p>
    <w:p>
      <w:r>
        <w:t>18. During the preliminary examination procedure, the merger parties and twelve of their named customers and competitors both domestically and abroad were surveyed in writing. Additionally, several phone calls were conducted with various market participants.</w:t>
      </w:r>
    </w:p>
    <w:p>
      <w:r>
        <w:t>19. In the context of the main examination procedure, the merger parties and their customers and competitors were again surveyed in more detail using a more extensive questionnaire. In this context, various phone calls were also conducted with market participants.</w:t>
      </w:r>
    </w:p>
    <w:p>
      <w:r>
        <w:t>20. On September 13, 2012, a meeting took place with representatives of Gerresheimer at the Federal Cartel Office. On this occasion, the representatives of Gerresheimer explained to the decision-making division the functioning of prefilled syringes in connection with the various needle protection devices available on the market using product samples.</w:t>
      </w:r>
    </w:p>
    <w:p>
      <w:r>
        <w:t>21. On September 18, 2012, a meeting took place with representatives of the merger parties and their lawyers, during which the products of the merger parties were presented and explained.</w:t>
      </w:r>
    </w:p>
    <w:p>
      <w:r>
        <w:t>22. On October 10, 2012, a meeting took place with representatives of Unilife and their lawyers at the Federal Cartel Office, during which the representatives of Unilife explained the Unilife products in comparison with prefilled syringes and needle protection devices of their competitors using product samples.</w:t>
      </w:r>
    </w:p>
    <w:p>
      <w:r>
        <w:t>23. The merger parties and their lawyers had the opportunity to present their arguments again on November 30, 2012, during a meeting with the decision-making division at the Federal Cartel Office.</w:t>
      </w:r>
    </w:p>
    <w:p>
      <w:r>
        <w:t>24. Schott was given the opportunity to comment on the notified merger project during a conference call on November 30, 2012.</w:t>
      </w:r>
    </w:p>
    <w:p>
      <w:r>
        <w:rPr>
          <w:b/>
        </w:rPr>
        <w:t>[Pages 7–9]</w:t>
      </w:r>
    </w:p>
    <w:p>
      <w:r>
        <w:t>- 7 -</w:t>
        <w:br/>
        <w:t>B. PROHIBITION REQUIREMENTS</w:t>
      </w:r>
    </w:p>
    <w:p>
      <w:r>
        <w:t>I. Formal Prohibition Requirements</w:t>
      </w:r>
    </w:p>
    <w:p>
      <w:r>
        <w:t>25. The formal requirements for prohibiting the merger project are only met with regard to the market for prefillable glass syringes.</w:t>
      </w:r>
    </w:p>
    <w:p>
      <w:r>
        <w:t>1. Merger Fact</w:t>
      </w:r>
    </w:p>
    <w:p>
      <w:r>
        <w:t>26. BD acquires, as part of the merger project, indirectly through its 100% subsidiary Surf City Inc., all shares in and sole control over SSI. The project therefore fulfills the merger facts of share acquisition according to § 37 para. 1 no. 3 lit. a) GWB and acquisition of control pursuant to § 37 para. 1 no. 2 GWB.</w:t>
      </w:r>
    </w:p>
    <w:p>
      <w:r>
        <w:t>2. Domestic Effects</w:t>
      </w:r>
    </w:p>
    <w:p>
      <w:r>
        <w:t>27. The intended merger has domestic effects within the meaning of § 130 para. 2 GWB. The parties involved in the merger achieve significant sales in Germany.</w:t>
      </w:r>
    </w:p>
    <w:p>
      <w:r>
        <w:t>3. Exceeding the Revenue Thresholds of § 35 Abs. 1 GWB</w:t>
      </w:r>
    </w:p>
    <w:p>
      <w:r>
        <w:t>28. The project is subject to notification in Germany according to § 35 Abs. 1 GWB, as BD's worldwide revenue in the last financial year exceeds € 500 million and BD has domestic revenues of more than € 25 million and SSI has domestic revenues of more than € 5 million.</w:t>
      </w:r>
    </w:p>
    <w:p>
      <w:r>
        <w:t>29. The revenues that SSI has generated with [...] are to be considered as domestic revenues within the meaning of § 35 Abs. 1 no. 2 GWB, contrary to the opinion of the merger parties. [...] requests needle protection devices from SSI, receives them from SSI delivered to Germany, and pays the invoices that SSI issues to [...].</w:t>
      </w:r>
    </w:p>
    <w:p>
      <w:r>
        <w:t>30. Since SSI delivers the needle protection devices to a German company in Germany and invoices this company, the revenues that SSI generates from the deliveries to [...] are domestic revenues within the meaning of § 35 Abs. 1 no. 2 GWB. The merger parties incorrectly rely on the Consolidated Communication of the Commission on jurisdictional issues pursuant to Regulation (EC) No. 139/2004 of the Council on the control of concentrations between undertakings1 ("Jurisdiction Communication") for their contrary view. Even according to the Commission's Jurisdiction Communication, the revenues that SSI generates from the deliveries to [...] would be considered as German revenues. This would apply even if [...] were a subsidiary of [...] (which is not the case), as the needle protection devices are delivered directly to Germany and processed there: The fact that a central purchasing organization abroad (in this case [...]) enters into a framework agreement with the supplier for the supply of a subsidiary in Germany is irrelevant for the question of geographical revenue allocation.2 This must also apply – if not even more so – when, as here, the goods are delivered under the framework agreement not to a domestic subsidiary of the foreign end purchaser, but to a third company in the domestic market.</w:t>
      </w:r>
    </w:p>
    <w:p>
      <w:r>
        <w:t>4. Exclusion of Two Affected Markets from Merger Control According to § 35 Abs. 2 S. 1 no. 2 GWB</w:t>
      </w:r>
    </w:p>
    <w:p>
      <w:r>
        <w:t>31. It is undisputed that in the past calendar year, sales of glass prefilled syringes in Germany generated revenues of more than € 15 million, so that there is no minor market within the meaning of § 35 Abs. 2 S. 1 no. 2 GWB, and merger control applies.</w:t>
      </w:r>
    </w:p>
    <w:p>
      <w:r>
        <w:t>32. In contrast, the market for safety devices for syringes with fixed needles and the market for safety devices for syringes with Luer-Lock / Luer fittings are each minor markets within the meaning of § 35 Abs. 2 S. 1 no. 2 GWB.</w:t>
      </w:r>
    </w:p>
    <w:p>
      <w:r>
        <w:t>a) Minor Markets for Needle Protection Devices</w:t>
      </w:r>
    </w:p>
    <w:p>
      <w:r>
        <w:t>33. The assumption of a minor market within the meaning of § 35 Abs. 2 S. 1 no. 2 GWB requires, on the one hand, that less than € 15 million was generated in the last calendar year (see below under aa)). Furthermore, goods or commercial services must have been offered on this affected market for at least five years (see below under bb)).</w:t>
      </w:r>
    </w:p>
    <w:p>
      <w:r>
        <w:t>1 OJ of the EU C 43 of 21.02.2009, p. 9 et seq.</w:t>
        <w:br/>
        <w:t>2 See Jurisdiction Communication, no. 198, on geographical revenue allocation for central purchasing organizations.</w:t>
      </w:r>
    </w:p>
    <w:p>
      <w:r>
        <w:t>- 9 -</w:t>
        <w:br/>
        <w:t>aa) Revenue Limits</w:t>
      </w:r>
    </w:p>
    <w:p>
      <w:r>
        <w:t>34. On the market for needle protection devices for syringes with fixed needles on the one hand and the market for needle protection devices for syringes with Luer-Lock or Luer fittings on the other hand, significantly less than € 15 million was generated domestically in the last calendar year. Even with an alternative delineation of a unified market for needle protection devices, regardless of the syringe variant, the domestic revenue threshold of € 15 million would not be reached.</w:t>
      </w:r>
    </w:p>
    <w:p>
      <w:r>
        <w:t>bb) Temporal Limit (Market Maturity Criterion)</w:t>
      </w:r>
    </w:p>
    <w:p>
      <w:r>
        <w:t>35. At the time of the decision, both aforementioned markets have existed for more than five years.</w:t>
      </w:r>
    </w:p>
    <w:p>
      <w:r>
        <w:t>36. Since § 35 Abs. 2 S. 1 no. 2 GWB uses both the term "years" and "calendar year," it can be assumed that the legislator has made a conscious distinction in this regard. In the temporal consideration, it is therefore crucial whether the relevant market existed five years prior to the decision date, that is, at the latest on the day that is five years before the decision date.</w:t>
      </w:r>
    </w:p>
    <w:p>
      <w:r>
        <w:t>37. According to the case law of the Federal Court of Justice, the starting point for this consideration is not the economic market concept that is otherwise relevant for examining market conditions in merger control, but a (normative) "domestic market." This applies even if the spatially relevant market extends beyond the federal territory.3</w:t>
      </w:r>
    </w:p>
    <w:p>
      <w:r>
        <w:t>38. SSI has argued that within the context of § 35 Abs. 2 S. 1 no. 2 GWB, a distinction should be made regarding the market concept. Thus, with respect to the calculation of revenue volumes, reference should be made to the hypothetical domestic market. However, for the calculation of the five-year period, the relevant market defined by economic criteria should be decisive.</w:t>
      </w:r>
    </w:p>
    <w:p>
      <w:r>
        <w:t>39. The decision-making department does not share this view. It assumes rather that a uniform standard should be applied within the framework of § 35 Abs. 2 S. 1 no. 2 GWB, and that for both the revenue thresholds and the criterion of market maturity, reference should be made to a (hypothetical) domestic market. The wording of the provision initially argues against a differentiated consideration: § 35 Abs. 2 S. 1 no. 2 GWB refers to the domestic market.3 BGH, decision of 25.09.2007, WuW 2008, p. 57 et seq., para. 16 – Sulzer/Kelmix.</w:t>
      </w:r>
    </w:p>
    <w:p>
      <w:r>
        <w:rPr>
          <w:b/>
        </w:rPr>
        <w:t>[Pages 10–12]</w:t>
      </w:r>
    </w:p>
    <w:p>
      <w:r>
        <w:t>- 10 -</w:t>
        <w:br/>
        <w:t>of "a market" on which two conditions must be cumulatively fulfilled. Accordingly, the BGH also assumes a unified concept of the market in § 35 para. 2 sentence 1 no. 2 GWB.4</w:t>
        <w:br/>
        <w:t>40. Furthermore, § 35 para. 2 sentence 1 no. 2 GWB is intended to exclude precisely those cases from merger control that concern a macroeconomically insignificant (normative domestic) market.5 Whether such a market with only "marginal effects"6 exists can only be assessed when there is also a certain market maturity in the domestic market, i.e., supply and demand have been meeting in the domestic market for at least five years.</w:t>
        <w:br/>
        <w:t>41. Otherwise, one could not capture the constellation in which, in the presence of a global market, a product or service may only be offered in the domestic market with significant delay due to regulatory requirements. Since the relevant business activities must first develop in the domestic market, it would obviously be inappropriate in such a case to exclude the relevant market from merger control by referring to the already existing global market for at least five years.</w:t>
        <w:br/>
        <w:t>42. Within the framework of § 35 para. 2 sentence 1 no. 2 GWB, the question also arises whether any revenues generated can already be used to conclude that a market existed on which the relevant goods were offered.</w:t>
        <w:br/>
        <w:t>43. The concept of a market necessarily presupposes supply and demand. An indication of the existence of supply and demand is initially the conclusion of purchase contracts for the relevant product, with delivery and payment following the conclusion of the contract in time. Delivery as a real act represents a particularly strong indication in this regard.</w:t>
        <w:br/>
        <w:t>44. In the opinion of the decision-making department, it is generally not sufficient if only deliveries of samples in insignificant quantities or free deliveries are agreed upon. Such business transactions do not provide any serious and sustainable sales or purchase intention that would justify the establishment of a market. Sample deliveries in the aforementioned sense are rather intended to create demand for the products. Similarly, the assumption of market establishment would be rejected if the supplier did not have the economic capacity or the legal prerequisites to offer the product on a commercial scale at all.</w:t>
        <w:br/>
        <w:t>45. In this case, these considerations do not lead to the exclusion of a trivial market, as the relevant markets have each existed for at least five years.</w:t>
        <w:br/>
        <w:t>46. Initially, the decision-making department assumed that only needle protection devices for syringes with Luer-Lock / Luer fittings had been offered or demanded in Germany for at least five years. This was confirmed by the market investigation of the decision-making department.</w:t>
        <w:br/>
        <w:t>47. In contrast, the market survey showed deliveries of needle protection devices for syringes with fixed needles to Germany only for the year 2009. Therefore, it could not initially be assumed that goods had been offered on the hypothetical domestic market relevant for the trivial market clause for at least five years.</w:t>
        <w:br/>
        <w:t>48. Only after the warning letter was sent on December 6, 2012, did the merger parties submit copies of documents regarding a few delivery agreements for the relevant needle protection devices for the year 2007. The decision-making department has examined these documents on a random basis. There are no justified doubts regarding their authenticity.</w:t>
        <w:br/>
        <w:t>49. The aforementioned documents provide evidence of deliveries of the needle protection devices "Preventis" (by BD) or deliveries or at least contracts for the delivery of "needle guard" or "UltraSafe" needle protection devices in 2007. The order volume ranges between 10,000 and 240,000 pieces. The prices are around […] to […] euros per order.</w:t>
        <w:br/>
        <w:t>50. Thus, the relevant revenues are individually and collectively significantly lower than today; however, from the overall view of the transactions made, it can be concluded that the relevant needle protection devices were offered and demanded in Germany in a commercial context in 2007. Since the relevant market has thus existed for more than five years, a review of the merger due to the intervention of the trivial market clause of § 35 para. 2 sentence 1 no. 2 GWB is excluded.</w:t>
        <w:br/>
        <w:t>51. The merger control is also not opened in this case because, exceptionally, a summation of the revenues generated in the glass pre-filled syringe market and the needle protection device markets would be warranted. Although, according to the decision-making practice of the Bundeskartellamt and the highest court rulings, revenue additions are appropriate in special cases, no such special case exists here.7</w:t>
        <w:br/>
        <w:t>52. In the case of Deutsche Bahn / KVS Saarlouis, the BGH deemed an addition of revenues justified, as the merger parties were simultaneously active in both the trivial market and a non-trivial upstream or downstream market, and the competitive conditions in the trivial market directly determined which competitors were legally and factually able to offer their goods or services in the other market as well.8 The activity in the carrier market (trivial market) was an essential prerequisite for the activity in the downstream passenger market. However, such a close relationship in the sense of a "conditio sine qua non" cannot be attributed to the needle protection device markets. Initially, these are not upstream or downstream markets. Needle protection devices are not necessarily part of a pre-filled syringe that is sold together with it. They rather represent an optional additional feature. This is also evidenced by a look at the supplier structure in the affected markets. BD is the only company that manufactures both glass pre-filled syringes and needle protection devices. Since, even in the medium to long term, the majority of syringes produced will be sold without a needle protection device, it is not apparent that mere presence in the needle protection device markets enables activity in the adjacent market for glass pre-filled syringes.</w:t>
        <w:br/>
        <w:t>7 Not relevant and therefore not further mentioned here are the BGH decisions Transportbeton Sauerland (BGH, decision of June 22, 1981, BGHZ 81, 56) or Raiffeisen (BGH, decision of December 19, 1995, WuW/E BGH 3037), in which the underlying mergers concerned identical regional markets in substantive terms or an arbitrary market segmentation in a larger contiguous area.</w:t>
        <w:br/>
        <w:t>8 See the decision of the BGH of July 11, 2006, KVR 28/05, BGHZ 168, 295 para. 16 - Deutsche Bahn/KVS Saarlouis.</w:t>
      </w:r>
    </w:p>
    <w:p>
      <w:r>
        <w:rPr>
          <w:b/>
        </w:rPr>
        <w:t>[Pages 13–15]</w:t>
      </w:r>
    </w:p>
    <w:p>
      <w:r>
        <w:t>- 13 -</w:t>
        <w:br/>
        <w:t>53. The Federal Cartel Office has, in several decisions, made the aggregation of markets under the de minimis market clause dependent on the condition that buyers and competitors face a unified corporate policy from the companies involved in the merger and that the competitive conditions in the closely related markets cannot be considered independently.9</w:t>
        <w:br/>
        <w:t>54. Despite differences in individual formulations, the Federal Cartel Office has consistently focused in its decision-making practice on whether related products are offered in the markets based on manufacturing technique and/or intended use, whether there is a substantial identity of suppliers and buyers, and whether there is moderate supply-side flexibility.10</w:t>
        <w:br/>
        <w:t>55. The Higher Regional Court of Düsseldorf has stated that a consolidation of markets is justified when the relevant individual markets can be considered similar. They must therefore exhibit sufficient similarities in terms of substance and also regarding their market structure.11</w:t>
        <w:br/>
        <w:t>56. In the described sense, structurally similar markets do not exist here. The supply side in the respective markets differs fundamentally. While BD manufactures both glass pre-filled syringes and needle protection devices, this does not apply to any other significant manufacturer of glass pre-filled syringes or needle protection devices.12 There is also no significant supply-side flexibility, as it is not apparent how the production of needle protection devices could be switched to the production of glass pre-filled syringes or vice versa. Since, even in the medium to long term, the majority of syringes produced will be sold without a needle protection device, it is not evident that there will be a merging of the mentioned markets.</w:t>
        <w:br/>
        <w:t>57. In Sulzer/Kelmix, the Federal Court of Justice once again expressly emphasized that the aggregation of revenues across different relevant product markets constitutes an exception that must be limited to clearly defined case groups. Since the de minimis market clause serves as a criterion for consideration, its requirements must be reliably ascertainable by the parties involved in the merger without significant difficulty. This means that further case constellations in which revenue addition should be permitted beyond the previous Senate case law must be sufficiently clearly defined in their prerequisites.13</w:t>
        <w:br/>
        <w:t>58. Since there is no case constellation present here that would justify a consolidation of markets under § 35 para. 2 sentence 1 no. 2 GWB, the markets for glass pre-filled syringes and needle protection devices must be considered independently in this respect.</w:t>
        <w:br/>
        <w:t>5. No EU-wide Significance</w:t>
        <w:br/>
        <w:t>59. The project does not fall within the jurisdiction of the European Commission, as SSI has achieved community-wide revenues of less than €100 million (Art. 1 para. 3 lit. d) of Regulation (EC) No. 139/2004 of the Council of January 20, 2004, on the control of concentrations between undertakings (“EC Merger Regulation”).14</w:t>
        <w:br/>
        <w:t>II. Substantive Prohibition Requirements</w:t>
        <w:br/>
        <w:t>60. The merger project does not meet the prohibition requirements of § 36 para. 1 GWB. It is not expected that the merger will create or strengthen a dominant market position in the only market subject to antitrust review – that for pre-filled glass syringes.</w:t>
        <w:br/>
        <w:t>1. Affected Products</w:t>
        <w:br/>
        <w:t>61. The products affected by the merger are presented below. Due to possible interactions between the respective markets, products that are traded in a market not subject to antitrust control are also addressed.</w:t>
        <w:br/>
        <w:t>a) Prefillable Glass Syringes</w:t>
        <w:br/>
        <w:t>62. Prefillable syringes are medical instruments used for the single parenteral administration (injection) of liquid medications. They consist of a cylindrical syringe body (cylinder), which has a nozzle at the front end and a finger grip at the rear end, a piston movable within the cylinder, which consists of a rubber stopper (piston stopper) and a plastic rod (piston rod), as well as a hollow needle (cannula). The cannula can either be permanently glued into the syringe (fixed needle or “staked needle”) or attached with a screw thread (or a plug connection at the nozzle at the front end of the cylinder (Luer needle). In a Luer system, the seal is achieved through a conical construction of the connecting parts, known as the Luer cone. When the cone is expanded for securing or locking the connection against accidental disconnection by a screw with a locking nut, the system is referred to as Luer-Lock. The connection closes and opens with a half turn. The simpler version without a screw thread at the syringe nozzle is referred to as Luer fitting (this term will be used hereinafter), Luer plug, or also “Luer-Slip.” The spelling “Luer-Lok” for the secured connection and also “Luer-Slip” for the unsecured connection is protected as a registered trademark by BD.</w:t>
        <w:br/>
        <w:t>63. Furthermore, pre-filled syringes can be distinguished based on whether they are made of glass or plastic. The latter are significantly less common; however, their price is considerably higher than that of glass pre-filled syringes.</w:t>
        <w:br/>
        <w:t>64. The aforementioned pre-filled syringes are filled by pharmaceutical companies and subsequently delivered to buyers (e.g., hospitals) (possibly after the attachment of a needle protection device). From the manufacturer's side, such pre-filled syringes are offered in pre-sterilized form (also referred to as “ready-to-use syringes”): The ready-to-use syringe bodies are delivered in sealed trays to pharmaceutical manufacturers for direct filling. Various trademarks (e.g., SCF® (Becton Dickinson), RTF® (Gerresheimer), or forma 3S® (Schott)) are commonly used for this type of glass syringe. The filling of pre-filled syringes takes place on high-throughput filling lines. Alternatively, buyers can also obtain so-called “bulk goods.” These are glass syringe bodies delivered to buyers without further treatment such as washing, siliconizing, or sterilizing in flat trays.</w:t>
      </w:r>
    </w:p>
    <w:p>
      <w:r>
        <w:rPr>
          <w:b/>
        </w:rPr>
        <w:t>[Pages 16–18]</w:t>
      </w:r>
    </w:p>
    <w:p>
      <w:r>
        <w:t>- 16 -</w:t>
        <w:br/>
        <w:t>between "ready-to-use" pre-filled syringes, which are washed, siliconized, equipped with accessories such as plunger stoppers and protective caps, and sterilized with ethylene oxide before delivery. The market investigation has shown that pre-filled syringes are predominantly demanded in pre-sterilized form today. In terms of pricing, pre-sterilized syringes are almost twice as expensive as bulk goods.</w:t>
        <w:br/>
        <w:t>65. The present proceedings do not concern single-use syringes that are filled only at the user's location (e.g., from ampoules).</w:t>
        <w:br/>
        <w:t>b) Needle protection devices for pre-filled syringes</w:t>
        <w:br/>
        <w:t>66. Needle protection devices for pre-filled syringes are devices designed to protect users from needlestick injuries and thus from potential infections when using pre-filled syringes by enclosing or shielding the needle after the medication dose has been administered.</w:t>
        <w:br/>
        <w:t>67. Needle protection devices are manufactured both for pre-filled syringes with Luer-lock / Luer fittings and for pre-filled syringes with fixed needles.</w:t>
        <w:br/>
        <w:t>2. Relevant Markets</w:t>
        <w:br/>
        <w:t>a) Relevant Product Markets</w:t>
        <w:br/>
        <w:t>68. The antitrust examination only concerns the market for pre-filled glass syringes. The market for needle protection devices for pre-filled syringes with fixed (glued) needles, as well as the market for the production and distribution of needle protection devices for syringes with Luer-lock or Luer fittings, are excluded from antitrust scrutiny as trivial markets. However, they are briefly presented below, as there may be interactions between the markets for needle protection devices and the market for pre-filled glass syringes. Furthermore, the market delineation is relevant for the question of whether a trivial market exists, since, for example, if the market for needle protection devices for syringes with fixed needles is narrowed down to so-called "passive" needle protection devices15 (as stated in the merger notification), it is highly likely that no trivial market in the sense of § 35 para. 2 sentence 1 no. 2 GWB would exist, as this type of protective device has only been marketed in Germany since around 2009.</w:t>
        <w:br/>
        <w:t>15 For the conceptual distinction, see para. 91.</w:t>
      </w:r>
    </w:p>
    <w:p>
      <w:r>
        <w:t>- 17 -</w:t>
        <w:br/>
        <w:t>69. According to established case law, products belong to the same relevant product market if, from the perspective of a reasonable and average consumer, they are readily interchangeable in terms of their characteristics, prices, and intended use, as they are suitable for satisfying a specific need.16</w:t>
        <w:br/>
        <w:t>aa) Market for pre-filled glass syringes</w:t>
        <w:br/>
        <w:t>70. Most syringes used in the pharmaceutical sector are made of glass. Glass syringes typically range in size from 0.5 to 20 ml. Although syringes are internationally standardized by technical norms (ISO-11040-4) to ensure compatibility between different manufacturers, the market investigation has shown that syringes from different manufacturers exhibit variances within the standard limits, which can affect compatibility with needle protection devices and may require adjustments.</w:t>
        <w:br/>
        <w:t>71. The manufacturers of glass pre-filled syringes, in addition to BD, primarily include the glass manufacturers Gerresheimer, Schott, Nipro Glass Germany AG, Münnerstadt, ("Nipro Glass") and the Stevanato Group S.p.A., Piombino Dese, with its subsidiary Nuova Ompi s.r.l., Piombino Dese, ("Nuova Ompi"). These manufacturers produce both syringes with fixed needles and syringes with Luer-lock / Luer fittings, which are often marketed under identical product names. There is a very high degree of switching flexibility in this regard.</w:t>
        <w:br/>
        <w:t>72. The purchasers are pharmaceutical manufacturers or their contract manufacturers, who fill liquid medications into pre-filled syringes. Initially, pre-filled syringes were primarily used for vaccines and anticoagulants (heparins). Today, they are also used for biotech drugs such as therapeutic peptides and proteins. The market investigation has shown that the vast majority of the total market volume is accounted for by pre-filled syringes for vaccines and anticoagulants.</w:t>
        <w:br/>
        <w:t>16 See, for example, BGH, judgment of 24.10.1995, WuW/E 3026, 3028 – Oven Market; BGH, judgment of 19.3.1996 - KZR 1/95; WuW/E 3058, 3062 - Pay-TV Transmission; BGH, decision of 5.10.2004 - KVR 14/03, WRP 2004, 1502, 1504 – Vacuum Cleaner Bag Market. KG, judgment of 18.2.1969, WuW/E OLG 995, 996 – Hand Price Tagging Devices, BGH, WuW/E DE-R 1087, 1091 – Equipment for Firefighting Vehicles; BGH, WuW/E DE-R 1419, 1423 – Deutsche Post/trans-o-flex.</w:t>
      </w:r>
    </w:p>
    <w:p>
      <w:r>
        <w:t>- 18 -</w:t>
        <w:br/>
        <w:t>73. In addition, there are pre-filled syringes made of high-quality plastic, which are, however, not widely used and are generally not interchangeable with glass pre-filled syringes from the perspective of purchasers. While plastic syringes fundamentally serve the same purpose as glass syringes, namely the injection of a single dose of a liquid medication, plastic syringes are not a reference alternative for most application areas. This is primarily due to the significantly higher price level of plastic syringes, which – at least for the majority of applications – is only marginally offset by functional advantages (especially break resistance). The strict pharmaceutical regulatory approval requirements demand, among other things, that a medication can be stored in the primary packaging for an extended period without reacting with the packaging or undergoing chemical changes. Furthermore, pre-filled syringes must be crystal clear to allow an unobstructed view of the medication. Since only very high-quality plastics (cyclic olefins) meet these requirements, plastic syringes are approximately ten times more expensive than glass syringes. Therefore, plastic syringes are only used for very specific application areas, e.g., when glass is unsuitable due to an increased risk of breakage, such as with X-ray contrast agents, which are filled into break-resistant plastic syringes due to the comparatively large filling volume. Moreover, the market investigation has shown that the market for plastic pre-filled syringes is very small compared to the market for glass pre-filled syringes: The share of high-quality plastic syringes among all pre-filled syringes is below 5%. Even if plastic pre-filled syringes and glass pre-filled syringes were assigned to the same product market, the market conditions on such a hypothetical overall market for pre-filled syringes would not differ significantly from those on a separate product market for glass pre-filled syringes.</w:t>
        <w:br/>
        <w:t>74. A further subdivision into pre-sterilized glass pre-filled syringes and bulk glass syringes (see para. 64) is not indicated. Generally, the same purchasers are involved, who are fundamentally capable of carrying out the sterilization of syringes themselves. Since the bulk syringe segment is smaller compared to the pre-filled syringe segment (approximately 20% by revenue) and the market conditions on an overall market for bulk syringes and pre-filled syringes do not differ significantly from those on respective separate product markets, this question ultimately does not have any decisive significance.</w:t>
        <w:br/>
        <w:t>bb) Markets for needle protection devices for pre-filled syringes not to be examined</w:t>
        <w:br/>
        <w:t>75. For the purpose of market delineation regarding needle protection devices, the functional interchangeability from the perspective of demand should be considered. This leads to a distinction</w:t>
      </w:r>
    </w:p>
    <w:p>
      <w:r>
        <w:rPr>
          <w:b/>
        </w:rPr>
        <w:t>[Pages 19–21]</w:t>
      </w:r>
    </w:p>
    <w:p>
      <w:r>
        <w:t>- 19 -</w:t>
        <w:br/>
        <w:t>tion eine Fertigspritze, die in der Regel mit einer Nadelschutzvorrichtung ausgestattet ist. Diese Produkte unterscheiden sich jedoch grundlegend von Nadelschutzvorrichtungen für Luer-Spritzen und Fertigspritzen mit fester Nadel, da sie in der Regel nicht für den direkten Einsatz in einem klinischen Umfeld konzipiert sind.</w:t>
      </w:r>
    </w:p>
    <w:p>
      <w:r>
        <w:t>76. From a purely technical perspective, screw-on / snap-on needle protection devices for Luer-lock syringes cannot be attached to syringes with fixed needles and vice versa.17 The needle protection devices for syringes with fixed needles are regularly connected to the syringe in automated processes.18 In contrast, for Luer syringes, the necessary assembly step is typically performed by the user and not industrially.</w:t>
      </w:r>
    </w:p>
    <w:p>
      <w:r>
        <w:t>77. Once the type of syringe is determined during product development, only a needle protection device designed for that specific type is considered. There is no longer any flexibility for the buyer to switch once a syringe with a specific needle protection device is offered on the market: switching from a needle protection device for syringes with fixed needles to a Luer needle protection device or vice versa would require a replacement of the syringe and thus cause significant switching costs.</w:t>
      </w:r>
    </w:p>
    <w:p>
      <w:r>
        <w:t>78. For Luer syringes, at least one assembly step must be performed at the user level. The user must attach the needle and/or the protection device to the Luer syringe. This additional step can lead to handling errors and may be undesirable in areas where the patient self-administers medication. Conversely, in the case of non-subcutaneous injections, it may be advantageous for medical personnel to determine the appropriate needle length in a final assembly step, for example, to penetrate the patient's adipose tissue with a longer needle. In these cases, a syringe with a fixed needle would not be desired from the user's perspective.</w:t>
      </w:r>
    </w:p>
    <w:p>
      <w:r>
        <w:t>17 No further differentiation will be made between needle protection devices for glass syringes and those for plastic syringes. In practice, the latter have so far played virtually no role.</w:t>
      </w:r>
    </w:p>
    <w:p>
      <w:r>
        <w:t>18 This may have been different in an early market stage; for example, the products delivered by SSI to Germany in 2007 were needle protection devices into which glass syringes were inserted, which could also happen at the user level (manually). The relevant products play hardly any role in SSI's business today.</w:t>
      </w:r>
    </w:p>
    <w:p>
      <w:r>
        <w:t>- 20 -</w:t>
        <w:br/>
        <w:t>79. There are also significant differences in the supplier and buyer structure for needle protection devices for Luer syringes and syringes with fixed needles, which at least do not suggest a pronounced manufacturer-side switching flexibility. In particular, the target company SSI has specialized in needle protection devices for syringes with fixed needles. SSI manufactures only a single variant of a Luer needle protection device, and this only at the explicit request of a single buyer. Similarly, the acquirer BD generates a significant portion of its revenues from needle protection devices for syringes with fixed needles. While in the market for needle protection devices for syringes with fixed needles, alongside BD and SSI, the companies Schreiner, West, and to a limited extent Rexam play a significant role, in the market for needle protection devices for Luer syringes, the companies Terumo and Smiths Medical hold a revenue position similar to BD (each 20 – 30%).</w:t>
      </w:r>
    </w:p>
    <w:p>
      <w:r>
        <w:t>80. Finally, the buyers of needle protection devices also differ depending on the type of syringe. Needle protection devices for syringes with fixed needles are almost exclusively demanded by pharmaceutical companies. In contrast, needle protection devices for Luer syringes are also supplied directly to hospitals, whose staff then equip otherwise procured syringes with the protection devices. Such snap-on protection devices can also be used for single-use syringes that are filled by medical personnel themselves, for example, by drawing liquid from an ampoule. This is categorically excluded for needle protection devices for syringes with fixed needles.</w:t>
      </w:r>
    </w:p>
    <w:p>
      <w:r>
        <w:t>aaa) Role of integrated safety systems open</w:t>
        <w:br/>
        <w:t>81. In integrated safety systems, the syringe and needle protection device form an inseparable structural unit.20 For example, the piston of the syringe can be connected to the (then movable) cannula after the complete administration of the dose via a mechanism located inside the cylinder. This causes the piston, equipped with a spring mechanism, to pull the cannula out of the patient and into the protective cylinder of the syringe solely through its retraction in the cylinder. The cannula is never exposed after the dose has been administered.</w:t>
      </w:r>
    </w:p>
    <w:p>
      <w:r>
        <w:t>19 See para. 119.</w:t>
      </w:r>
    </w:p>
    <w:p>
      <w:r>
        <w:t>20 An example of such an integrated safety system is the "Unifill" product from Unilife.</w:t>
      </w:r>
    </w:p>
    <w:p>
      <w:r>
        <w:t>- 21 -</w:t>
        <w:br/>
        <w:t>After its complete retraction, the piston is locked by another mechanism, so that the cannula cannot be pushed out of the cylinder again. Such integrated safety systems have only recently been developed and currently play no or only a marginal role as product packaging in the pharmaceutical industry.</w:t>
      </w:r>
    </w:p>
    <w:p>
      <w:r>
        <w:t>82. As far as can be seen, currently two companies (TipTop, Unilife) offer integrated overall systems that combine a glass pre-filled syringe with a needle protection device as an inseparable unit. Just like a two-component solution consisting of a syringe with a fixed needle and a needle protection device, the overall system does not require any further assembly step by the user. On the other hand, at least with regard to the respective existing product portfolio of pharmaceutical manufacturers, it is questionable whether a substitutability relationship exists, as the buyer would have to replace two components of a proven and marketable combination, which would again incur significant costs. It is also questionable to what extent integrated overall systems represent a price alternative to a combination of a glass pre-filled syringe and a suitable needle safety device; so far, no reliable market price has emerged due to the lack of corresponding revenues.</w:t>
      </w:r>
    </w:p>
    <w:p>
      <w:r>
        <w:t>83. Conversely, it is at least possible to rely on integrated safety systems as containers in the case of new drug approvals. With increasing sales figures, it can also be expected that due to economies of scale, a level of production costs can be achieved that allows for price competition with combinations of syringes with fixed needles and corresponding needle safety devices.</w:t>
      </w:r>
    </w:p>
    <w:p>
      <w:r>
        <w:t>84. It can remain open whether integrated safety systems form their own market or are to be attributed to the market for needle protection devices for syringes with fixed needles. Since a convergence of the market for pre-filled syringes with the market for needle protection devices for pre-filled syringes is not foreseeable within the forecast period, integrated safety systems are at least to be attributed to a market adjacent to the market for glass pre-filled syringes. For the assessment of the competitive effects on the glass pre-filled syringe market, this is ultimately irrelevant.</w:t>
      </w:r>
    </w:p>
    <w:p>
      <w:r>
        <w:t>bbb) Autoinjectors not part of the needle protection device markets</w:t>
        <w:br/>
        <w:t>85. Autoinjectors are also medical products designed for the single or multiple injection of a liquid medication. They were developed particularly so that the injection can also be performed by the patient themselves (self-medication). Autoinjectors contain a pre-filled syringe as primary packaging for the medication to be administered.</w:t>
      </w:r>
    </w:p>
    <w:p>
      <w:r>
        <w:rPr>
          <w:b/>
        </w:rPr>
        <w:t>[Pages 22–24]</w:t>
      </w:r>
    </w:p>
    <w:p>
      <w:r>
        <w:t>- 22 -</w:t>
        <w:br/>
        <w:t>ment either pre-filled syringes or cartridges. These are completely surrounded by a regularly opaque housing. In the transport state, the medication to be administered and the needle are located inside the housing and are therefore, unlike pre-filled syringes, usually not visible to the user. When the contained medication is needed, the user firmly presses the autoinjector against the body part where the injection is to be made, triggering a mechanism contained within the housing, usually spring-based. This mechanism punctures the needle into the corresponding body part and injects the medication. This functionality is designed to make usage as simple as possible (e.g., with just one hand, in case of injuries, at night, etc.) and also to avoid the widespread fear of needles. Conversely, autoinjectors do not allow medically trained users to visually monitor the administration of the active ingredient.</w:t>
        <w:br/>
        <w:t>86. Autoinjectors are primarily used where either patients with limited tactile abilities, such as those suffering from rheumatism or multiple sclerosis, or untrained individuals need to administer injections particularly quickly, e.g., adrenaline for the acute treatment of anaphylactic shocks in allergy sufferers.</w:t>
        <w:br/>
        <w:t>87. The market investigation has shown that autoinjectors are not interchangeable with needle protection devices for pre-filled syringes from the perspective of either demanders or suppliers. Autoinjectors differ from needle protection devices for pre-filled syringes in their characteristics (opaque, no visual dosage control), their intended use (self-medication), and their price (approximately ten times more expensive on average). They therefore serve to satisfy a different need.</w:t>
        <w:br/>
        <w:t>88. From the supplier's side, autoinjectors and pre-filled syringes with needle protection devices are also not interchangeable. This is already evident from the different supplier structure. While there are some suppliers like BD and West that offer both autoinjectors and needle protection devices for pre-filled syringes, most manufacturers offer either autoinjectors or needle protection devices for pre-filled syringes.</w:t>
        <w:br/>
        <w:t>89. Autoinjectors thus form a distinct market.</w:t>
        <w:br/>
        <w:t>ccc) No further market delineation based on the functionality of needle protection devices for pre-filled syringes with fixed needles</w:t>
        <w:br/>
        <w:t>90. A more detailed market delineation based on the functionality of the respective needle protection device is to be rejected.</w:t>
      </w:r>
    </w:p>
    <w:p>
      <w:r>
        <w:t>- 23 -</w:t>
        <w:br/>
        <w:t>91. For pre-filled syringes with fixed needles, there are various needle protection devices that must be attached as accessories to the pre-filled syringe. Unlike Luer systems, this is generally not done by the user but as part of the production process of the filler. With manual needle protection devices, the user must render the needle unusable after the injection, for example, by covering the needle with an attached plastic cap or bending it.21 With active needle protection devices, the user must trigger a mechanism after administering the syringe that activates the needle protection, for example, by applying firm pressure to the plunger, causing a spring mechanism to slide a sleeve over the needle.22 With passive needle protection devices, the user does not need to trigger the mechanism that activates the needle protection.23 Activation occurs automatically after the user has withdrawn the needle from the patient.</w:t>
        <w:br/>
        <w:t>92. The merger parties believe that the various needle protection devices, despite having a uniform intended purpose, form separate product markets due to their different functionalities.</w:t>
        <w:br/>
        <w:t>93. When selecting needle protection devices, all platforms are initially available to demanders. However, once they have selected a specific type of needle protection device, alternatives are essentially only considered within the respective needle protection device. This is because the decision of purchasers for a specific platform of needle protection devices is strongly influenced by the preferences of the users of the needle protection device in the healthcare sector, i.e., the individuals administering injections, as well as by the preferences of patients in the case of self-medication. A significant role is played by whether the handling of the syringe with the needle protection device is simple. The complexity of the composition of the needle protection device and the needle, including costs, is also important.</w:t>
        <w:br/>
        <w:t>94. Once purchasers have made their choice for the corresponding platform of the needle protection device, and furthermore, the users in the healthcare sector or the self-administering patients have become familiar with the corresponding needle protection device, it is rather rare for pharmaceutical manufacturers to change the needle protection device. This is also shown by practice, where a change, if it occurs, usually results in a cheaper solution (e.g., to a manual system) or to a technologically strongly preferred solution (such as passive or integrated needle protection devices).</w:t>
        <w:br/>
        <w:t>95. Overall, the technological differences between the various needle protection devices in terms of safety and ease of handling are significant. For users, this has led to a trend towards passive needle protection devices. In the area of vaccines, there are also pharmaceutical companies that have developed their own needle protection devices, making penetration into this market for passive needle protection devices difficult. On the other hand, passive needle protection technology (also referred to as integrated solution) is the preferred choice for their originator products among biotechnology companies.</w:t>
        <w:br/>
        <w:t>96. A subdivision into manual, active, and passive needle protection devices, as proposed by the merger parties, is, however, not appropriate. It is particularly not decisive whether a needle protection device can be classified as a manual, active, or passive system. These subdivisions also depend heavily on the respective definition, and the transitions between the systems available on the market are fluid. There is no universally valid delineation.24 For example, BD refers to its needle protection device "Preventis," which the merger parties classify in their application as an active system, on its own website as an "Automatic Needle Shielding System."25 The term "automatic" is partially understood by market participants as synonymous with "passive."</w:t>
        <w:br/>
        <w:t>97. The U.S. Occupational Safety and Health Administration ("OSHA"), a part of the United States Department of Labor, has made the following distinction on its website:26</w:t>
        <w:br/>
        <w:t>24 See also A. Mitchell, "Defining Passive in Safety-Engineered Medical Devices: A National Overview," available at http://needlesticksafety.org/experts-speak-out/35-defining-passive-in-safety-engineered-medical-devices-a-national-overview. The status of this and subsequent internet sources corresponds to the date of the decision.</w:t>
        <w:br/>
        <w:t>25 See http://www.bd.com/safety/products/pharmaceutical/.</w:t>
        <w:br/>
        <w:t>26 Available online at</w:t>
      </w:r>
    </w:p>
    <w:p>
      <w:r>
        <w:rPr>
          <w:b/>
        </w:rPr>
        <w:t>[Pages 25–27]</w:t>
      </w:r>
    </w:p>
    <w:p>
      <w:r>
        <w:t>- 25 -</w:t>
        <w:br/>
        <w:t xml:space="preserve"> Needleless devices  </w:t>
        <w:br/>
        <w:t xml:space="preserve"> Passive safety features: remain in effect before, during and after use.  </w:t>
        <w:br/>
        <w:t xml:space="preserve">o Integrated safety design: have a safety feature that is built in as an integral part of the device and cannot be removed. This design feature is usually preferred.  </w:t>
        <w:br/>
        <w:t xml:space="preserve"> Active devices: require the worker to activate the safety mechanism.  </w:t>
        <w:br/>
        <w:t xml:space="preserve">o Accessory safety devices: have safety features that are external to the device and must be carried to, or be temporarily or permanently fixed to, the point of use. This design is dependent on employee compliance and according to some researchers, is less desirable.  </w:t>
        <w:br/>
        <w:t xml:space="preserve">98. The U.S. Centers for Disease Control and Prevention ("CDC"), a part of the U.S. Department of Health and Human Services, published a "Workbook for Designing, Implementing and Evaluating a Sharps Injury Prevention Program" in 2008, which states regarding the distinction between active and passive needle protection devices:27  </w:t>
        <w:br/>
        <w:t xml:space="preserve">"The majority of safety features integrated into devices are active, i.e., they require some action on the part of the user to ensure that the needle or sharp is isolated after use. With some devices, activation of the safety feature can be done before the needle is removed from the patient. However, for most devices, activation of the safety feature is performed following the procedure. The timing of activation has implications for needlestick prevention; the sooner the needle is permanently isolated, the less likely a subsequent needlestick will occur.  </w:t>
        <w:br/>
        <w:t xml:space="preserve">A passive safety feature is one that requires no action by the user. A good example of such a device is a protected needle used to access parts of an IV delivery system; although a needle is used, it is never exposed (i.e., unprotected) and does not rely on the user to render it safe.  </w:t>
        <w:br/>
        <w:t xml:space="preserve">http://www.osha.gov/SLTC/etools/hospital/hazards/sharps/sharps.html.  </w:t>
        <w:br/>
        <w:t>27 CDC, Workbook for Designing, Implementing and Evaluating a Sharps Injury Prevention Program, p. 134.</w:t>
      </w:r>
    </w:p>
    <w:p>
      <w:r>
        <w:t>- 26 -</w:t>
        <w:br/>
        <w:t xml:space="preserve">Few devices with passive safety features are currently available. Many devices currently marketed as self-blunting, self-sheathing, or self-retracting imply that the safety feature is passive. However, devices that use these strategies generally require that the user engage the safety feature.  </w:t>
        <w:br/>
        <w:t xml:space="preserve">Although devices with passive safety features are intuitively more desirable, this does not mean that a safety feature that requires activation is poorly designed or not desirable. In certain situations it is not practical or feasible for the device or for the procedure to have a passive control. Therefore, whether a safety feature is active or passive should not take priority in deciding the merits of a particular device. The relevance of this information is most important for the training of healthcare personnel in the correct use of a modified device and motivating compliance in using the safety feature."  </w:t>
        <w:br/>
        <w:t xml:space="preserve">99. According to this definition by U.S. authorities, most currently available needle protection devices on the market would be classified as active needle protection devices, as they must be activated after the injection is administered. Only needle protection devices that do not require activation after the injection could be classified as passive needle protection devices.  </w:t>
        <w:br/>
        <w:t xml:space="preserve">100. For the purpose of defining the relevant market in the context of merger control, the distinction between manual, active, and passive needle protection devices is, however, insignificant. As previously stated, a unified market for needle protection devices must be delineated, which includes all needle protection devices for pre-filled syringes with fixed needles that can be attached as accessories to such pre-filled syringes.  </w:t>
        <w:br/>
        <w:t xml:space="preserve">101. Although there are differences in the functionality of individual needle protection devices, these may also affect user comfort and user safety and may be considered only secondarily for specific applications. However, these differences do not justify a fundamental distinction between the different products that would warrant the delineation of separate product markets. Rather, the commonalities from the purchaser's perspective of the various needle protection devices mentioned above prevail. In this context, it should be noted that the identified differences are also due to the fact that needle protection devices are protected by industrial property rights, which are intended to make imitation difficult or impossible.  </w:t>
        <w:br/>
        <w:t xml:space="preserve">102. From the perspective of an average reasonable purchaser, it is initially decisive that the various needle protection devices effectively protect the user of pre-filled syringes in compliance with the relevant legal safety regulations against needlestick injuries. This is the essential purpose of needle protection devices. In this context, the requirements of occupational safety are particularly important, as buyers of pre-filled syringes with safety devices must fulfill their duty of care as employers and protect their employees, who administer pre-filled syringes, from needlestick injuries. Therefore, it is initially crucial for purchasers whether a needle protection device meets the requirements of the respective occupational safety laws and regulations, e.g., TRBA 250.  </w:t>
        <w:br/>
        <w:t xml:space="preserve">103. The market investigation in the present proceedings confirms this perspective. The surveyed companies rated compliance with relevant safety regulations as the most important purchasing criterion (on average 4.86 out of 5 possible points). Since only a few evaluations of needle protection devices were made in total, no definitive conclusions can be drawn from this due to a lack of representativeness. However, there are two assessments from companies that have evaluated both the (manual) Schreiner "Needle Trap" needle protection device and the UltraSafe needle protection device from SSI. One company sees both products as equal, while the other awards […] points (SSI) and […] points (Schreiner). However, purchasers see disadvantages in user safety (on average across all evaluations, Schreiner scores […] and SSI scores […] out of 5 possible points). Conversely, purchasers find Schreiner to be more price attractive than SSI (Schreiner: […]; SSI: […]).  </w:t>
        <w:br/>
        <w:t xml:space="preserve">104. From the purchaser's perspective, therefore, considering all criteria, it can be assumed that manual, active, and passive needle protection devices are considered as concrete alternatives in the purchasing decision. This finding is also supported by statements from SSI that purchasers have switched from their (“passive”) product to a (“manual”) product from Schreiner.28  </w:t>
        <w:br/>
        <w:t xml:space="preserve">105. In light of the extensive interchangeability from the consumer's perspective, a unified market for needle protection devices for pre-filled syringes with fixed needles should therefore be delineated, which includes all needle protection devices that can be attached as accessories to pre-filled syringes with fixed needles, regardless of whether they are designated as manual, active, or passive systems.  </w:t>
        <w:br/>
        <w:t>28 This is the statement from SSI in the meeting at the Federal Cartel Office on November 30, 2012. See also the email sent by the legal representatives of SSI on November 29, 2012, p. 2.</w:t>
      </w:r>
    </w:p>
    <w:p>
      <w:r>
        <w:rPr>
          <w:b/>
        </w:rPr>
        <w:t>[Pages 28–30]</w:t>
      </w:r>
    </w:p>
    <w:p>
      <w:r>
        <w:t>- 28 -</w:t>
        <w:br/>
        <w:t>b) Spatially Relevant Markets</w:t>
      </w:r>
    </w:p>
    <w:p>
      <w:r>
        <w:t>106. The market for prefillable glass syringes as defined above, as well as the market for needle protection devices for syringes with fixed needles, are each to be delineated on a global scale. It is unclear to what extent this also applies to the market for safety devices for Luer syringes, but this can remain open in the present case.</w:t>
      </w:r>
    </w:p>
    <w:p>
      <w:r>
        <w:t>107. Just as the relevant product market is defined, the spatial market delineation is also based on the demand market concept.29 Accordingly, for merger control, the demand market is spatially relevant, on which the merger project has an impact. It includes all demanders who, based on the actual circumstances of the specific case, can be considered as purchasers for the offerings of the merging companies and whose options for action may be affected, particularly restricted, by the merger.30 The spatially relevant market encompasses an area in which the merging parties offer their services, where the competitive conditions are sufficiently homogeneous, and which is distinguishable from neighboring areas by noticeably different competitive conditions.31</w:t>
      </w:r>
    </w:p>
    <w:p>
      <w:r>
        <w:t>108. Both glass syringes and needle protection devices for syringes with fixed needles are typically demanded by the pharmaceutical industry, which regularly maintains global purchasing relationships. The flow of goods also shows that products are transported over long distances to a significant extent; this is particularly true for the target company SSI, which exports the majority of its production from the USA to Europe.</w:t>
      </w:r>
    </w:p>
    <w:p>
      <w:r>
        <w:t>109. While the approval requirements for medical products differ worldwide, it can be assumed that the respective manufacturers typically obtain approvals for their identical or only minimally modified products for the relevant sales regions in order to achieve maximum distribution reach.</w:t>
      </w:r>
    </w:p>
    <w:p>
      <w:r>
        <w:t xml:space="preserve">29 See Ruppelt in: Langen/Bunte, Commentary on German and European Antitrust Law, 11th edition 2011, § 19 para. 37. </w:t>
        <w:br/>
        <w:t xml:space="preserve">30 BGH, WuW/E DE-R 2327/2336 - Kreiskrankenhaus Bad Neustadt, para. 69; OLG Düsseldorf, Decision of 15.12.2010, VI-Kart 6/09 – Gesundheit Nordhessen, Decision Document, p. 13; BGH, Decision of 8.11.2011, KVZ 14/11, Decision Document, para. 11. </w:t>
        <w:br/>
        <w:t>31 BGH, WuW/E DE-R 2327/2336 – Kreiskrankenhaus Bad Neustadt, para. 69; OLG Düsseldorf, Decision of 15.12.2010, VI-Kart 6/09 – Gesundheit Nordhessen, Decision Document, p. 13.</w:t>
      </w:r>
    </w:p>
    <w:p>
      <w:r>
        <w:t>- 29 -</w:t>
        <w:br/>
        <w:t>110. If one were to assume merely EEA-wide markets, the market shares for glass prefilled syringes would not fundamentally shift, as the same providers exhibit a similar market position. However, for needle protection devices with fixed needles, the market shares would diminish in an EEA-wide consideration, as the needle protection device "eris" (manufactured by West and Rexam) is currently practically not marketed in the USA due to patent law.</w:t>
      </w:r>
    </w:p>
    <w:p>
      <w:r>
        <w:t>111. For needle protection devices for Luer syringes, it is unclear whether they might form a spatially narrower market, as on the demand side, in addition to large purchasers from the pharmaceutical industry, hospitals, etc., are also supplied. This question does not need to be ultimately decided in the present case, as the relevant market itself is not subject to antitrust scrutiny.</w:t>
      </w:r>
    </w:p>
    <w:p>
      <w:r>
        <w:t>c) Summary</w:t>
      </w:r>
    </w:p>
    <w:p>
      <w:r>
        <w:t>112. The merger currently under review affects a total of three markets:</w:t>
        <w:br/>
        <w:t>(1) the global market for the manufacture and distribution of prefillable glass syringes;</w:t>
        <w:br/>
        <w:t>(2) the global market for the manufacture and distribution of needle protection devices for syringes with fixed needles;</w:t>
        <w:br/>
        <w:t>(3) the (likely) global market for the manufacture and distribution of needle protection devices for Luer-lock / Luer-tip syringes.</w:t>
      </w:r>
    </w:p>
    <w:p>
      <w:r>
        <w:t>113. The latter two markets are each considered minor markets within the meaning of § 35 para. 2 sentence 1 no. 2 GWB, so they are not subject to further antitrust scrutiny. However, the competitive developments in these markets may impact the glass syringe market under investigation, so the respective market conditions will also be addressed below.</w:t>
      </w:r>
    </w:p>
    <w:p>
      <w:r>
        <w:t>4. No Creation or Strengthening of a Dominant Position in the Market for Prefilled Glass Syringes</w:t>
      </w:r>
    </w:p>
    <w:p>
      <w:r>
        <w:t>114. The notified merger does not lead to the creation or strengthening of a dominant position in the market for glass syringes.</w:t>
      </w:r>
    </w:p>
    <w:p>
      <w:r>
        <w:t>115. To assess whether dominance exists in a relevant market, a comprehensive overall consideration of all circumstances relevant to the market strength of a company must be undertaken. The market share is a particularly significant and meaningful characteristic in the context of the assessment of the prohibition requirements according to § 36 para. 1 GWB.</w:t>
      </w:r>
    </w:p>
    <w:p>
      <w:r>
        <w:t>a) Initial Situation</w:t>
      </w:r>
    </w:p>
    <w:p>
      <w:r>
        <w:t>aa) Position in the Market for Prefilled Glass Syringes</w:t>
      </w:r>
    </w:p>
    <w:p>
      <w:r>
        <w:t>116. In the market for prefilled glass syringes, BD holds a high market share, as the following overview shows:</w:t>
        <w:br/>
        <w:t>Company Global Market Shares by Revenue (2011)</w:t>
        <w:br/>
        <w:t>BD &gt; 75%</w:t>
        <w:br/>
        <w:t>Gerresheimer 10 – 20%</w:t>
        <w:br/>
        <w:t>Schott &lt; 5%</w:t>
        <w:br/>
        <w:t>Nipro Glass &lt; 5%</w:t>
        <w:br/>
        <w:t>Nuova Ompi &lt; 5%</w:t>
        <w:br/>
        <w:t>Others in total &lt; 5%</w:t>
        <w:br/>
        <w:t>Total 100%</w:t>
      </w:r>
    </w:p>
    <w:p>
      <w:r>
        <w:t>117. Even before the merger, BD's revenue-based market share was over 75% worldwide, significantly above the presumption threshold of § 19 para. 3 sentence 1 GWB. The gap to the next largest competitors, Gerresheimer and Schott, is more than 60 percentage points each.</w:t>
      </w:r>
    </w:p>
    <w:p>
      <w:r>
        <w:t>118. Although the merger does not lead to any further market share additions, as the target company SSI does not manufacture syringes itself, this does not exclude the strengthening of a possibly already existing dominant position. In adjacent markets, as is the case here, conglomerate effects must be examined more closely. In markets with high concentration-</w:t>
      </w:r>
    </w:p>
    <w:p>
      <w:r>
        <w:rPr>
          <w:b/>
        </w:rPr>
        <w:t>[Pages 31–33]</w:t>
      </w:r>
    </w:p>
    <w:p>
      <w:r>
        <w:t>- 31 -</w:t>
        <w:br/>
        <w:t>degree, a slight impairment of the remaining competition or potential competition is sufficient.32</w:t>
        <w:br/>
        <w:t>bb) Position in the market for needle protection devices for fixed needle pre-filled syringes</w:t>
        <w:br/>
        <w:t>119. According to the opinion of the decision-making department, the merged company BD/SSI acquires a dominant market position in the market for needle protection devices for fixed needle pre-filled syringes through the merger with a revenue-based joint market share of [over 50] %. The gap to the largest competitor West (market share […] %) is more than […], and the gap to the following competitors Rexam and Schreiner (market shares […] %) is more than […] percentage points. In the course of its investigations, the decision-making department found that BD/SSI occupies a difficult-to-challenge market position due to customer preferences, switching barriers, a superior position of SSI in the areas of industrial property rights and know-how, as well as economies of scale and product range advantages and privileged access to the sales markets.</w:t>
        <w:br/>
        <w:t>cc) Position in the market for needle protection devices for Luer syringes</w:t>
        <w:br/>
        <w:t>120. In the significantly smaller market for needle protection devices for Luer syringes, BD/SSI has a joint market share of [over 40] %. The competitive situation in this market is assessed as significantly less critical, as competitors do not face a comparably strong patent position of the merging parties.</w:t>
        <w:br/>
        <w:t>b) Possibility of an enhancement effect through conglomerate effects</w:t>
        <w:br/>
        <w:t>121. The present case concerns a constellation in which a dominant market position could fundamentally be established or strengthened due to conglomerate effects. The affected markets – that for glass pre-filled syringes on the one hand and the markets for needle protection devices on the other – are to be regarded as related: needle protection devices are a complementary product for pre-filled syringes.</w:t>
        <w:br/>
        <w:t>32 BGH WuW/E DE-R 668, para. 28 f. - Werra Rundschau, with further references; BGH, decision of 21.12.2004, KVR 26/03 - Deutsche Post/trans-o-flex, WuW/E DE-R 1419, cited according to juris para. 26 with further references; BGH WuW/E DE-R 1925 para. 24, 26 - National Geographic II.</w:t>
      </w:r>
    </w:p>
    <w:p>
      <w:r>
        <w:t>- 32 -</w:t>
        <w:br/>
        <w:t>122. The new company BD/SSI also has high market shares in all the mentioned markets and accordingly (albeit to varying degrees) possesses certain market power.</w:t>
        <w:br/>
        <w:t>123. Competitors of the merging parties both in the glass pre-filled syringe market and in the market for needle protection devices for pre-filled syringes have expressed concerns to the decision-making department regarding the merger, as they fear market-foreclosing practices by the merged company BD/SSI.</w:t>
        <w:br/>
        <w:t>124. They particularly argue that BD could in the future only make the previously "freely available" passive needle protection devices available for BD pre-filled syringes and offer SSI needle protection devices only in connection with BD glass pre-filled syringes or only optimize them for BD pre-filled syringes. This would lead to foreclosure effects both in the market for needle protection devices for fixed needle pre-filled syringes and in the market for glass pre-filled syringes. Especially in the area of higher-priced pharmaceuticals, there is a strong trend towards pre-filled syringes with needle protection devices. In this market segment, competitors could not offer an equivalent alternative to the products of BD/SSI. After BD's acquisition of SSI, only Rexam and West remained as two independent providers of needle protection devices for fixed needle pre-filled syringes in the market.</w:t>
        <w:br/>
        <w:t>125. Furthermore, BD has advantages in contractual negotiations with customers regarding both products compared to other competitors, as BD can offer both products at a lower price due to economies of scale.</w:t>
        <w:br/>
        <w:t>c) Assessment</w:t>
        <w:br/>
        <w:t>126. In this case, it is solely to be examined whether competition-restraining or market-foreclosing effects, as described above, are likely in the market for glass pre-filled syringes. The adjacent markets for needle protection devices are considered trivial markets, so that conglomerate effects of the merger on these markets must be disregarded.</w:t>
        <w:br/>
        <w:t>127. However, the analysis of the market situation shows that there is no sufficient likelihood for the establishment or strengthening of a dominant market position in the market for glass pre-filled syringes through the conglomerate effects of the merger.</w:t>
      </w:r>
    </w:p>
    <w:p>
      <w:r>
        <w:t>- 33 -</w:t>
        <w:br/>
        <w:t>128. This assessment is primarily based on the following considerations: The merger of BD and SSI does not lead to a loss of competition; market-foreclosing tying or bundling strategies33 are not promising for the merged company (to be discussed further below under aa)); finally, there are also no other enhancement effects in the market for glass pre-filled syringes (to be discussed further below under bb)).</w:t>
        <w:br/>
        <w:t>aa) Market-foreclosing tying/bundling strategies not promising</w:t>
        <w:br/>
        <w:t>129. BD expands its existing product portfolio through the merger with SSI to include the widely used SSI needle protection devices for glass pre-filled syringes, thus adding complementary products. Therefore, the question arises whether the merged company can transfer its market power from the market for glass pre-filled syringes to the market for needle protection devices for glass pre-filled syringes, by directing current or future demand from a competing product to its own tied product, thereby hindering current competitors or preventing the market entry of potential competitors.34 Consequently, it is crucial whether BD/SSI would have the opportunity and incentive to tie the sale of its own pre-filled syringes (at least partially) to the procurement of its own needle protection devices or to market corresponding product bundles and thus displace competitors from the market for glass pre-filled syringes.</w:t>
        <w:br/>
        <w:t>130. According to the findings of the decision-making department, however, there is no sufficiently likely probability that the merged company would engage in market-foreclosing tying or bundling of these complementary products.</w:t>
        <w:br/>
        <w:t>33 "Tying" refers to the situation where two products can only be purchased or used together, albeit in a variable ratio. If products are offered in a fixed ratio, it is referred to as bundling. Since bundling and tying strategies lead to comparable competitive effects, the terms are used synonymously here, see the guidelines of the Federal Cartel Office on market dominance in merger control, para. 165 and fn. 136. (hereinafter: BKartA Guidelines Merger Control), available online at http://www.bundeskartellamt.de/wDeutsch/download/pdf/Publikationen/2012-03-29_Leitfaden_Endfassung_neu.pdf.</w:t>
        <w:br/>
        <w:t>34 See BKartA Guidelines Merger Control, para. 165 ff.</w:t>
      </w:r>
    </w:p>
    <w:p>
      <w:r>
        <w:rPr>
          <w:b/>
        </w:rPr>
        <w:t>[Pages 34–36]</w:t>
      </w:r>
    </w:p>
    <w:p>
      <w:r>
        <w:t>- 34 -</w:t>
        <w:br/>
        <w:t>is. While a partial tying/bundling does not appear to be fundamentally excluded; given the limited possibilities and a lack of incentive, this is unlikely, so that market-foreclosing effects cannot be expected with the required degree of certainty as a consequence of the merger.</w:t>
      </w:r>
    </w:p>
    <w:p>
      <w:r>
        <w:t>aaa) Limited possibility for tying/bundling</w:t>
      </w:r>
    </w:p>
    <w:p>
      <w:r>
        <w:t>131. A bundling strategy may consist either of offering the complementary products (here: pre-filled syringes and needle protection devices) only together in a bundle, possibly also through a corresponding technical connection that excludes interoperability with products from other suppliers, and completely or largely refraining from the separate marketing of the individual components (so-called "pure bundling"). An alternative strategy consists of continuing to offer the individual components separately, but charging a lower price for the respective product bundle than the sum of the prices of the individual components (so-called "mixed bundling"). However, there are no sufficient indications that the merger creates or significantly improves the possibility for such strategies by BDI/SSI.</w:t>
      </w:r>
    </w:p>
    <w:p>
      <w:r>
        <w:t>132. BD/SSI currently holds a large share of the demand for both components and consequently already occupies a strong market position in the affected markets. Moreover, buyers of glass pre-filled syringes are always actual or potential buyers of needle protection devices and are therefore considered as purchasers of product bundles. The investigations have also shown that the joint procurement of both pre-filled syringes and needle protection devices from a single source can be associated with advantages from the perspective of the buyers. For example, logistical advantages or easier clarification of liability issues were mentioned. However, these advantages, which result solely from the joint procurement of both products, do not yet allow the conclusion that buyers generally prefer a product bundle and that BDI/SSI thus had a strongly pronounced possibility to apply a bundling strategy that would also be further improved by the merger.</w:t>
      </w:r>
    </w:p>
    <w:p>
      <w:r>
        <w:t>133. The market survey rather provided clear indications that the purchasers do not have a strong preference for purchasing product bundles, but place great importance on the ability to freely determine the composition of the end product consisting of pre-filled syringes and needle protection devices. Evidence for this is, among other things, the fact that – although BD currently already offers its own needle protection device – there has so far been no regular joint procurement of a package of pre-filled syringes and needle protection devices. The investigations further revealed that the purchasers are particularly aware of the risk of becoming dependent on a single source when purchasing a product bundle. They therefore do not consider "single sourcing" to be a desirable procurement strategy in principle.</w:t>
      </w:r>
    </w:p>
    <w:p>
      <w:r>
        <w:t>134. Against the possibility of a bundling strategy speaks the fact that, according to the consistent estimates of market participants, glass pre-filled syringes will still predominantly (about 70% in 2015) be sold without needle protection devices in the future. While this does not mean that the majority of buyers do not equip pre-filled syringes with needle protection devices; it makes the purchase of product bundles overall less attractive. BD/SSI could not pursue a "pure bundling" strategy in light of the aforementioned background. At most, a "mixed bundling" strategy seems conceivable, i.e., an offer of the product bundle at more favorable conditions than the sum of the offers for the individual components. However, as will be explained below, the economic incentive for the merged company to pursue such a strategy is low due to market conditions.</w:t>
      </w:r>
    </w:p>
    <w:p>
      <w:r>
        <w:t>bbb) No sufficient incentive for market-foreclosing tying/bundling</w:t>
      </w:r>
    </w:p>
    <w:p>
      <w:r>
        <w:t>(1) Profitability of the bundling strategy questionable</w:t>
      </w:r>
    </w:p>
    <w:p>
      <w:r>
        <w:t>135. Economically, a sufficiently strong incentive for a market-foreclosing strategy of tying or bundling can only be assumed if the "investment" made in the pursued strategy (e.g., loss of revenue due to the discounted offering of the product bundle) is at least amortized in the long term through correspondingly higher revenues (e.g., market-driven additional revenues after the displacement of competitors in the offering of individual components). Thus, there must be a sufficient probability that such a strategy is overall profitable because the potentially arising additional revenues exceed the incurred costs (revenue losses).35</w:t>
      </w:r>
    </w:p>
    <w:p>
      <w:r>
        <w:t>136. However, in this case, it cannot be assumed based on market conditions that BD/SSI has a sufficient incentive for such a bundling strategy or that it will be increased to the required extent by the merger. The following considerations are particularly decisive for this.</w:t>
      </w:r>
    </w:p>
    <w:p>
      <w:r>
        <w:t>137. BD and SSI jointly generated revenues in 2011 in the markets for needle protection devices for pre-filled syringes […] of the revenue that BD generated in the market for glass pre-filled syringes. Market participants generally assume that in 2015 nearly 70% more needle protection devices will be sold than in 2011, while the market for glass pre-filled syringes will only grow by about 25% during the same period (in terms of units). Assuming that the revenues of BD/SSI will increase to a similar extent as the market volume, the merged company BD/SSI will, however, itself achieve less than […] of the revenues with needle protection devices in the medium to long term.</w:t>
      </w:r>
    </w:p>
    <w:p>
      <w:r>
        <w:t>138. A bundling strategy in favor of its own glass pre-filled syringes would only be associated with limited advantages for BD/SSI in light of this: It would at most secure the part of the glass pre-filled syringe sales that would be needed by buyers to combine with the needle protection devices sold by BD/SSI. In fact, however, currently, with very few exceptions, SSI needle protection devices are already being combined with BD pre-filled syringes. However, the relatively small potential revenue increase from the tied sales would be offset in the case of a "mixed bundling" strategy by the revenue losses resulting from the discounted price of the product bundle compared to the individual components.</w:t>
      </w:r>
    </w:p>
    <w:p>
      <w:r>
        <w:t>139. It should also be taken into account in this context that the revenues […] ; the margins achieved in both business areas […]. The strength of the incentive for a bundling strategy also crucially depends on the extent to which BD/SSI must offer price advantages for the product bundle to induce buyers to forgo the purchase of individual components (possibly also from other suppliers). Only in this case would the bundling strategy potentially have a market-foreclosing effect.</w:t>
      </w:r>
    </w:p>
    <w:p>
      <w:r>
        <w:t>140. Due to market conditions, it can be assumed that BD/SSI would indeed have to grant significant discounts for the product bundle to redirect demand in the market for pre-filled syringes to the detriment of competitors to the required extent. As already stated, market investigations have shown that the preference of buyers for purchasing product bundles is relatively weak. Furthermore, it should be noted that the purchase price for pre-filled syringes is not the most important criterion for procurement: Of seven procurement criteria inquired about on the buyer side, price was only rated as the fifth most important.</w:t>
      </w:r>
    </w:p>
    <w:p>
      <w:r>
        <w:rPr>
          <w:b/>
        </w:rPr>
        <w:t>[Pages 37–39]</w:t>
      </w:r>
    </w:p>
    <w:p>
      <w:r>
        <w:t>- 37 -</w:t>
        <w:br/>
        <w:t>named. Accordingly, the discounts that BD/SSI would have to offer for the product bundle compared to the individual components would need to be substantial in order to redirect a sufficient portion of the demand. Overall, it can therefore be stated that – in comparison to the possible, but by no means guaranteed additional revenues and profits that could arise from such a strategy – the immediate costs in the form of revenue and profit losses due to discounts granted for the product bundle would be high. Since the profitability of such a strategy is therefore questionable, there is only a weak incentive for it.</w:t>
      </w:r>
    </w:p>
    <w:p>
      <w:r>
        <w:t>(2) Existing Alternatives and Counterstrategies</w:t>
      </w:r>
    </w:p>
    <w:p>
      <w:r>
        <w:t>141. The chances of success and thus the incentive for bundling strategies by BD/SSI are also low because there are already alternatives available to the demand side or can realistically be created. Providers of pre-filled syringes operating in the market would also have the option to respond to a bundling strategy by BD/SSI with corresponding counterstrategies.</w:t>
      </w:r>
    </w:p>
    <w:p>
      <w:r>
        <w:t>142. Although BD currently has the largest production capacities for pre-filled syringes worldwide, from a capacity perspective, only Gerresheimer would currently be considered as an alternative sole supplier for the largest buyers. However, the purchasers of BD's glass pre-filled syringes indicate that they could cover nearly two-thirds of their BD demand from other suppliers within 36 months. This assessment is consistent with the statements of BD's competitors, who believe they would be able to produce and expand their capacities to the aforementioned extent within this timeframe.</w:t>
      </w:r>
    </w:p>
    <w:p>
      <w:r>
        <w:t>143. BD's competitors fear market foreclosure effects in the market for glass pre-filled syringes, particularly due to the strong position of BD/SSI in the market for needle protection devices for pre-filled syringes with fixed needles. While the decision-making department also views the situation in the aforementioned market as very critical from a competitive standpoint, it cannot be assumed that purchasers would have no alternatives left in the event of a bundling/linking of glass pre-filled syringes and needle protection devices by BD. For example, Rexam emphasizes the compatibility of its safety device Safe’n’Sound with common glass pre-filled syringes.36 Through a settlement in the patent dispute with SSI, Rexam can market its product worldwide.37 It is also expected that West will increasingly market its product B.safe in the future. Both companies have sufficient financial resources to absorb initial start-up losses that are inevitably due to size disadvantages. The decision-making department is also aware of new developments in integrated safety systems, of which Unifill by Unilife has already reached the market-ready stage. Particularly in the dynamically growing biotech sector with its high-priced pharmaceuticals, such integrated safety systems can find buyers despite current size and thus cost and price disadvantages.</w:t>
      </w:r>
    </w:p>
    <w:p>
      <w:r>
        <w:t>144. The purchasers predominantly assume that within 36 months they could completely replace BD/SSI's needle protection devices with alternative products if necessary. Conversely, other manufacturers of needle protection devices indicate that they could expand their production capacities to a corresponding extent within 36 months. Given the current production volumes on the manufacturer side and the necessary measures and investments for a massive production expansion, this may seem very ambitious, but it is certainly possible, provided that the purchasers make corresponding long-term purchase commitments.</w:t>
      </w:r>
    </w:p>
    <w:p>
      <w:r>
        <w:t>145. Against this background, there are indeed alternatives for the purchasers, and the remaining providers in the market also have the possibility, at least in the medium term, to counter a bundling strategy by BD/SSI with suitable counterstrategies, such as offering comparable product bundles. In this context, it is also significant that the pharmaceutical industry is characterized by contracts with multi-year terms; product developments also typically take several years. Thus, it is quite possible for purchasers to already explore new sources of supply in light of expiring contracts and to promote production expansion at alternative manufacturers through binding purchase commitments.</w:t>
      </w:r>
    </w:p>
    <w:p>
      <w:r>
        <w:t>(3) Countervailing Market Power</w:t>
      </w:r>
    </w:p>
    <w:p>
      <w:r>
        <w:t>146. Market-foreclosing bundling or tying strategies by BD appear to be of little promise in light of a very strong demand side: The products sold in conjunction would not be indispensable for a large portion of the purchasers in the long term. Due to large purchase volumes and considerable financial resources, the pharmaceutical industry is particularly capable of counteracting anti-competitive measures at the supplier level. There is also a corresponding incentive for this.</w:t>
      </w:r>
    </w:p>
    <w:p>
      <w:r>
        <w:t>147. Although no surveyed purchaser indicated that in-house production of pre-filled syringes would be considered in the event of price increases by BD, a significant shift in demand to alternative suppliers was deemed possible (see above, para. 142). The pharmaceutical giants, who account for the majority of the demand for pre-filled syringes, would also have the financial means to establish competing pre-filled syringe manufacturers or to allocate ever-increasing order volumes to them.</w:t>
      </w:r>
    </w:p>
    <w:p>
      <w:r>
        <w:t>148. In the case of needle protection devices for glass pre-filled syringes with fixed needles, a merged company BD/SSI possesses significant market power, which is particularly secured by a strong patent portfolio. However, given the strong demand side, there are still considerable doubts as to whether this market power can be transferred through the bundling of glass pre-filled syringes with fixed needles and the corresponding BD/SSI needle protection device to solidify BD's market position in the glass pre-filled syringe market under consideration.</w:t>
      </w:r>
    </w:p>
    <w:p>
      <w:r>
        <w:t>149. For instance, GlaxoSmithKline has its own production of needle protection devices and is therefore free to choose a compatible glass pre-filled syringe. Sanofi is in at least a similar position, as the company has its needle protection device "eris" manufactured under license. It is by no means excluded that other pharmaceutical companies may also approach BD with the desire to equip other than BD pre-filled syringes with BD/SSI needle protection devices. Given the correspondingly high demand volumes and the realistic risk for BD of losing an order or even a customer, there is no incentive for a consistent bundling/tying strategy in these cases.</w:t>
      </w:r>
    </w:p>
    <w:p>
      <w:r>
        <w:t>150. Conversely, there is generally an incentive for purchasers from the pharmaceutical industry to buy products from other suppliers than BD/SSI in order not to become overly dependent. With increasing production volumes, BD/SSI's competitors can also leverage significant economies of scale, which can translate into lower procurement prices in the long term.</w:t>
      </w:r>
    </w:p>
    <w:p>
      <w:r>
        <w:rPr>
          <w:b/>
        </w:rPr>
        <w:t>[Pages 40–42]</w:t>
      </w:r>
    </w:p>
    <w:p>
      <w:r>
        <w:t>- 40 -</w:t>
        <w:br/>
        <w:t>bb) no other strengthening effects</w:t>
      </w:r>
    </w:p>
    <w:p>
      <w:r>
        <w:t>151. With the acquisition of SSI, no potential competitor in the market for glass pre-filled syringes is eliminated for BD. SSI had so far focused on its core business, the manufacture of needle protection devices for syringes with fixed needles. A market entry into the market for glass pre-filled syringes was, as far as can be seen, neither planned nor would there have been a sufficient probability for this within the forecast period.</w:t>
      </w:r>
    </w:p>
    <w:p>
      <w:r>
        <w:t>152. Furthermore, through the acquisition of SSI, BD does not gain any significant increase in financial strength, so that no strengthening of BD's market position in the market for glass pre-filled syringes can arise from this. As for access to the sales markets, BD is already the best-positioned company whose products buyers wishing to fill a medicinal product would consider anyway.</w:t>
      </w:r>
    </w:p>
    <w:p>
      <w:r>
        <w:t>III. Result</w:t>
      </w:r>
    </w:p>
    <w:p>
      <w:r>
        <w:t>153. The notified merger project does not give rise to the expectation of the creation of a dominant position in the market for glass pre-filled syringes and is therefore to be cleared.</w:t>
      </w:r>
    </w:p>
    <w:p>
      <w:r>
        <w:t>C. FEES</w:t>
      </w:r>
    </w:p>
    <w:p>
      <w:r>
        <w:t>154. The clearance of a merger project is subject to fees as an official act of the competition authority according to § 40 GWB in accordance with § 80 para. 1 sentence 2 no. 2 GWB. The competition authority may charge fees of up to €50,000, and in cases of particularly great economic significance and exceptionally high administrative effort, up to €100,000 (§ 80 para. 2 sentence 2 no. 1 in conjunction with sentence 3 GWB). The notification of a merger according to § 39 para. 1 GWB is also subject to fees according to § 80 para. 1 sentence 2 no. 1 GWB. The fee for the clearance is to be credited against the fee for the notification of the merger (§ 80 para. 1 sentence 4 GWB).</w:t>
      </w:r>
    </w:p>
    <w:p>
      <w:r>
        <w:t>155. The amount of the fee is determined according to § 80 para. 2 sentence 1 GWB based on the personal and material effort of the competition authority (cost coverage principle) taking into account the economic significance of the subject of the fee-based action (equivalence principle). In this context, the economic significance of the merger is of relatively greater importance. It regularly arises from the expected economic benefits of the merger for the notifying companies and the effects on the affected market.</w:t>
      </w:r>
    </w:p>
    <w:p>
      <w:r>
        <w:t>156. For the economic benefits of the merger on the part of the companies, their revenues in the relevant markets and their market shares are again indicative. Within the fee framework, the average case is to be assigned the medium fee as an appropriate fee. This amounts to €25,000 according to the currently applicable fee framework. From this average value, depending on the respective economic significance and the workload, adjustments may be made, the amount of which is at the discretion of the competition authority.38</w:t>
      </w:r>
    </w:p>
    <w:p>
      <w:r>
        <w:t>157. […]</w:t>
      </w:r>
    </w:p>
    <w:p>
      <w:r>
        <w:t>158. […]</w:t>
      </w:r>
    </w:p>
    <w:p>
      <w:r>
        <w:t>159. Considering all criteria relevant for the determination of the fee, a fee of a total of € […] is appropriate in the present case. After crediting the separately charged fee for the notification of the merger project of € […] and exercising due discretion, a further amount of € […] was set for the clearance.</w:t>
      </w:r>
    </w:p>
    <w:p>
      <w:r>
        <w:t>160. The fee debtors of the fee are, according to § 80 para. 6 sentence 1 no. 2 in conjunction with § 80 para. 1 no. 2, § 40 GWB, the merger participants as joint debtors (§ 80 para. 6 sentence 3 GWB).</w:t>
      </w:r>
    </w:p>
    <w:p>
      <w:r>
        <w:t>161. The fee of € […] is to be transferred within one month after the delivery of this decision to the account of the</w:t>
      </w:r>
    </w:p>
    <w:p>
      <w:r>
        <w:t>Bundeskasse Trier</w:t>
        <w:br/>
        <w:t>Account No.: 590 010 20</w:t>
        <w:br/>
        <w:t>Deutsche Bundesbank, Branch Saarbrücken</w:t>
        <w:br/>
        <w:t>BLZ: 590 000 00</w:t>
        <w:br/>
        <w:t>IBAN: DE81 5900 0000 0059 0010 20</w:t>
        <w:br/>
        <w:t>BIC: MARKDEF 1590.</w:t>
        <w:br/>
        <w:t>Please ensure to indicate the purpose of use as</w:t>
      </w:r>
    </w:p>
    <w:p>
      <w:r>
        <w:t>38 Cf. OLG Düsseldorf, decision of 24.2.2010, VI-Kart 11/09 (V), para. 8 with further references, cited according to juris.</w:t>
      </w:r>
    </w:p>
    <w:p>
      <w:r>
        <w:t>- 42 -</w:t>
        <w:br/>
        <w:t>cash reference number</w:t>
        <w:br/>
        <w:t>810600267095</w:t>
        <w:br/>
        <w:t>and the date of the decision.</w:t>
      </w:r>
    </w:p>
    <w:p>
      <w:r>
        <w:t>162. If no or no complete payment is made by the end of one month after the date of delivery, default surcharges of one percent of the outstanding amount may be charged for each commenced month of default (§ 80 para. 8 GWB, § 1 para. 2 KartKostVO in conjunction with § 18 para. 1 VwKostG).</w:t>
      </w:r>
    </w:p>
    <w:p>
      <w:r>
        <w:t>163. For transfers from abroad, bank charges generally apply. In these cases, it must be ensured that the full fee is credited to the account of the Federal Cartel Office.</w:t>
      </w:r>
    </w:p>
    <w:p>
      <w:r>
        <w:rPr>
          <w:b/>
        </w:rPr>
        <w:t>[Pages 43–43]</w:t>
      </w:r>
    </w:p>
    <w:p>
      <w:r>
        <w:t>- 43 -</w:t>
        <w:br/>
        <w:t>D. INSTRUCTION ON LEGAL REMEDIES</w:t>
      </w:r>
    </w:p>
    <w:p>
      <w:r>
        <w:t>An appeal against this decision is permissible. It must be submitted in writing within a period of one month starting from the delivery of the decision to the Bundeskartellamt, Kaiser-Friedrich-Straße 16, 53113 Bonn. However, it is sufficient if it is received within this period by the appellate court, the Higher Regional Court of Düsseldorf.</w:t>
      </w:r>
    </w:p>
    <w:p>
      <w:r>
        <w:t>The appeal must be substantiated by a written submission filed with the Bundeskartellamt or the appellate court. The deadline for substantiating the appeal is two months. It begins with the delivery of the decision and can be extended upon request by the presiding judge of the appellate court. The appeal substantiation must contain a statement indicating the extent to which the decision is being contested and the request for its modification or annulment, and must specify the facts and evidence, including any new ones, on which the appeal is based.</w:t>
      </w:r>
    </w:p>
    <w:p>
      <w:r>
        <w:t>The appeal and its substantiation must be signed by a lawyer.</w:t>
      </w:r>
    </w:p>
    <w:p>
      <w:r>
        <w:t>Temme Töllner Schweikardt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