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https://www.bundeskartellamt.de/SharedDocs/Entscheidung/DE/Fallberichte/Fusionskontrolle/2019/B3-122-18.pdf;jsessionid=3236770715772EEC37B187B011D74CA7.1_cid362?__blob=publicationFile&amp;v=11</w:t>
      </w:r>
    </w:p>
    <w:p>
      <w:r>
        <w:t>Pages translated : 5</w:t>
      </w:r>
    </w:p>
    <w:p/>
    <w:p>
      <w:r>
        <w:rPr>
          <w:b/>
        </w:rPr>
        <w:t>[Pages 1–3]</w:t>
      </w:r>
    </w:p>
    <w:p>
      <w:r>
        <w:t xml:space="preserve">Case Report April 4, 2019  </w:t>
        <w:br/>
        <w:t xml:space="preserve">Withdrawal of the merger application of two foundations of Cellitinnen in Cologne  </w:t>
        <w:br/>
        <w:t xml:space="preserve">Industry: Hospitals  </w:t>
        <w:br/>
        <w:t xml:space="preserve">File Number: B3-122/18  </w:t>
        <w:br/>
        <w:t>Date of Withdrawal: December 17, 2018</w:t>
      </w:r>
    </w:p>
    <w:p>
      <w:r>
        <w:t>The foundation of the Cellitinnen zur heiligen Maria based in Cologne ("Cellitinnen Nord") intended, after a change in its statutes, to become the sole member of the "Stiftung der Cellitinnen" registered charitable association, Cologne ("Cellitinnen Süd"), subsequently to convert the association into a charitable GmbH and to hold all shares in this company. The two foundations operate a total of 12 hospitals, three medical care centers, 30 senior and elderly care facilities, as well as other healthcare institutions.</w:t>
      </w:r>
    </w:p>
    <w:p>
      <w:r>
        <w:t>The Federal Cartel Office examined the merger project, which was registered on August 9, 2018, in detail during the main review procedure. After the Federal Cartel Office communicated its competitive concerns in writing to the parties on December 10, 2018, and indicated a prohibition, the application was withdrawn on December 17, 2018. The merger was preliminarily assessed to significantly impede effective competition in the local hospital markets in left-Rhine Cologne. In particular, there were concerns about the strengthening of a dominant market position of Cellitinnen Nord in the market area "Cologne-North Left Rhine" due to the intended establishment of the largest hospital network in the Cologne urban area by a considerable margin. The preliminary assessment of the Office was based on the following considerations:</w:t>
      </w:r>
    </w:p>
    <w:p>
      <w:r>
        <w:t>The merger is, in substantive terms, affected by the consistent practice of the Federal Cartel Office regarding the product market for the provision of acute inpatient hospital services. In this area, the activities of the parties overlap in Cologne. Both foundations have their operational focus here. Overall, Cellitinnen Nord has more than 1,100 planned beds in its four general hospitals in the left-Rhine northern Cologne according to the hospital plan of the state of North Rhine-Westphalia. Two locations of Cellitinnen Süd are located left-Rhine in southern Cologne, and one location is left-Rhine in northern Cologne. In these three general hospitals, Cellitinnen Süd has more than 650 planned beds.</w:t>
      </w:r>
    </w:p>
    <w:p>
      <w:r>
        <w:t>1</w:t>
      </w:r>
    </w:p>
    <w:p>
      <w:r>
        <w:t>Hospital markets are regionally delineated in the consistent practice of the Federal Cartel Office. The spatially relevant market includes the patients who are actually considered for treatment in the hospitals involved in the merger, as only these patients are directly affected by the merger. Accordingly, the analysis is based on the five-digit postal code areas of the patients' residences. If patients predominantly visit hospitals in the area where they themselves reside (high "self-supply ratio"), this indicates homogeneous competitive conditions in this area and supports the assumption of an independent spatially relevant market. Surrounding areas are included in the market if the patients residing there visit hospitals in the core area to a relevant extent. In the present case, a threshold of 15 percent was deemed appropriate for the "in-commuter rate."</w:t>
      </w:r>
    </w:p>
    <w:p>
      <w:r>
        <w:t xml:space="preserve">To determine the relevant competitive forces, the Federal Cartel Office analyzed, according to its established practice, particularly the case and patient data from 2017 of 102 hospitals in the Cologne metropolitan area, which had been requested by the InEK Institute for the hospital payment system. The evaluation is based on approximately 14.7 million case data.  </w:t>
        <w:br/>
        <w:t>1 Legend: green - Cellitinnen Nord, brown - Cellitinnen Süd, silver - Clinics of the City of Cologne, turquoise - University Hospital Cologne and Evangelical Hospital Weyertal, orange - Sana Kliniken AG, purple - St. Elisabeth Hospital (Archdiocese of Cologne), red - other providers</w:t>
      </w:r>
    </w:p>
    <w:p>
      <w:r>
        <w:t>2</w:t>
      </w:r>
    </w:p>
    <w:p>
      <w:r>
        <w:t>The analysis of patient flows resulted in the finding that patients residing in the four market areas "Cologne North Left Rhine," "Cologne South Left Rhine," "Cologne Right Rhine," and "Porz" each predominantly choose to receive inpatient treatment at a hospital located within their own area. In contrast, the influx from neighboring areas is only minimal. Furthermore, the competitive conditions—measured by the relative importance of the individual hospitals—differ significantly from one another in these areas. Even when considering the supply side of the individual hospitals in a mirror-image analysis, it was shown that a large portion of the patients of the hospitals located in the market areas come from their respective market area.</w:t>
      </w:r>
    </w:p>
    <w:p>
      <w:r>
        <w:t>Regarding the two left-Rhine market areas central to the merger project, the spatial market delineation could ultimately be left open, as the preliminary assessment indicated that even if the two areas were combined into a spatial market, a significant impediment to effective competition would still be caused by the merger. A spatially broader market delineation—such as including the right-Rhine Cologne market areas—was ruled out. There are no significant patient flows across the Rhine, and the market structures on the two sides of the Rhine in Cologne differ significantly.</w:t>
      </w:r>
    </w:p>
    <w:p>
      <w:r>
        <w:t>To verify a corresponding party submission, the Federal Cartel Office also conducted an extensive survey of resident doctors from the Cologne urban area in the present case. The focus of the survey was particularly on the recommendation behavior of doctors for the various Cologne hospitals. A representative sample of over 200 resident doctors from the fields of general medicine, internal medicine, orthopedics, hand surgery, and surgery was surveyed. The survey of the doctors confirmed the market delineation made on the basis of patient data. Doctors essentially recommend hospitals that are in close spatial proximity to their patients. To further clarify the market conditions, the 38 hospital operators active in the Cologne metropolitan area were also surveyed.</w:t>
      </w:r>
    </w:p>
    <w:p>
      <w:r>
        <w:t>Based on its investigations, the Federal Cartel Office has come to the preliminary assessment that Cellitinnen Nord already possesses a dominant market position in the market area "Cologne-North Left Rhine" without the merger. In 2017, they treated over 50 percent of the more than 60,000 patients in the market area in their four hospitals. Even without the merger, the market share gap to the subsequent competitors was about 40 percentage points. Furthermore, the position of Cellitinnen Nord is particularly strong compared to its competitors, especially in the core areas of its inpatient treatment offerings. Their leading position is secured by the fact that they cover a comprehensive range of inpatient treatments and that their hospitals work closely together within the group. This enables them to transfer patients internally within the group and to offer comprehensive medical treatments at each location. Additionally, Cellitinnen</w:t>
      </w:r>
    </w:p>
    <w:p>
      <w:r>
        <w:rPr>
          <w:b/>
        </w:rPr>
        <w:t>[Pages 4–5]</w:t>
      </w:r>
    </w:p>
    <w:p>
      <w:r>
        <w:t>North, through its four hospitals located in the market area, the nearby operated elderly care facilities, its offering of outpatient treatments, and cooperation agreements with resident doctors within its outpatient surgery center, has particularly good access to the patients of the market area. The strong position of the Cellitinnen Nord in the Cologne North left-Rhine market is secured by the fact that they are economically sound and, under the prevailing conditions, are better able than their competitors to generate the financial resources needed for their activities due to their group structure. Additionally, from the perspective of resident doctors, they provide good inpatient treatment quality at several locations, which, compared to their competitors, leads to more recommendations from resident doctors and is expected to result in growth in patient numbers during the forecast period. High market entry barriers hinder the entry of competitors into the market.</w:t>
      </w:r>
    </w:p>
    <w:p>
      <w:r>
        <w:t>According to preliminary assessments, the planned merger was expected to strengthen the dominant position of the Cellitinnen Nord in the regional market of Cologne North left-Rhine. With the merger with Cellitinnen Süd, the Cellitinnen Nord would have significantly expanded their far-reaching position in the market area with an increase in market share of over 5 percentage points. They would have integrated additional general hospitals into their group and subsequently formed the largest hospital group in the Cologne area. The three hospitals of Cellitinnen Süd—particularly the St. Agatha Hospital—are located in close proximity to the four hospitals of Cellitinnen Nord (see figure above). The planned merger would have eliminated the competitive pressure exerted by Cellitinnen Süd as a close competitor. As a result of the merger, Cellitinnen Nord would have had less to fear in terms of patient attrition when optimizing their treatment spectrum based solely on economic considerations. The elimination of this close competitive relationship and the acquisition of additional hospital locations would have resulted in fewer incentives—especially in the case of the St. Agatha Hospital in northern Cologne—to improve quality and make investments.</w:t>
      </w:r>
    </w:p>
    <w:p>
      <w:r>
        <w:t>The survey of doctors confirmed the close competitive relationship between the merging parties. The survey showed a very high "diversion ratio" between the St. Agatha Hospital operated by Cellitinnen Süd in the Cologne North left-Rhine market and the facilities of Cellitinnen Nord: The investigations revealed that the surveyed doctors would have redistributed over 65 percent of the more than 1,500 referral recommendations made for the St. Agatha Hospital in 2017 to the facilities of Cellitinnen Nord if the St. Agatha Hospital had not been available. At the same time, the expansion of the hospital group of Cellitinnen Nord would have resulted in a reduction in the number of transfers from the merging parties to competitors, further diminishing their competitive strength. The merger would also have improved the access of the merging parties to patients in the market and thus the financial strength of the parties. A significant market share erosion was not expected during the forecast period.</w:t>
      </w:r>
    </w:p>
    <w:p>
      <w:r>
        <w:t>Due to the particular competitive proximity of the merging parties, it was also to be assumed that, when delineating a spatial market that encompasses the entire left-Rhine area of Cologne, the planned merger would lead to a significant hindrance of effective competition. Such high diversion ratios between merging parties—as determined in the present case—regularly indicate the existence of the prohibition conditions under § 36 Abs. 1 GWB, regardless of the market delineation. Furthermore, even based on this (too) broad market delineation, the Cellitinnen would have become by far the largest left-Rhine provider with a market share lead of over 25 percentage points based on patient numbers or over 15 percentage points based on revenues compared to the group of the University Hospital of Cologne.</w:t>
      </w:r>
    </w:p>
    <w:p>
      <w:r>
        <w:t>No statement regarding the preliminary concerns of the Office was submitted by the parties. The proceedings concluded due to the withdrawal of the notification without a final decision from the Office (and possibly its judicial review). The merger may therefore not be executed.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