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http://www.bundeskartellamt.de/SharedDocs/Entscheidung/EN/Fallberichte/Kartellverbot/2009/B3-144-08.pdf?__blob=publicationFile&amp;v=4</w:t>
      </w:r>
    </w:p>
    <w:p>
      <w:r>
        <w:t>Pages translated : 1</w:t>
      </w:r>
    </w:p>
    <w:p/>
    <w:p>
      <w:r>
        <w:rPr>
          <w:b/>
        </w:rPr>
        <w:t>[Pages 1–1]</w:t>
      </w:r>
    </w:p>
    <w:p>
      <w:r>
        <w:t xml:space="preserve">Case summary  </w:t>
        <w:br/>
        <w:t xml:space="preserve">Retraction of Price Agreement for Colistin Antibiotics  </w:t>
        <w:br/>
        <w:t xml:space="preserve">Sector Pharmaceuticals (32)  </w:t>
        <w:br/>
        <w:t xml:space="preserve">Ref. B 3 - 144/08  </w:t>
        <w:br/>
        <w:t>Date of Decision no formal decision</w:t>
      </w:r>
    </w:p>
    <w:p>
      <w:r>
        <w:t>1. In the autumn of 2008, in an application for leniency, the pharmaceutical company Grünenthal GmbH notified the Bundeskartellamt of a price agreement with the company Infectopharm GmbH and helped to establish the facts of the case by providing the authority with extensive information. The price agreements were abandoned and the Bundeskartellamt achieved price reductions for the drugs concerned. The health insurance funds are to be reimbursed for the extra costs they have already incurred from the price agreements.</w:t>
      </w:r>
    </w:p>
    <w:p>
      <w:r>
        <w:t>2. Grünenthal has retracted the price increases set in the illegal price agreement and reduced the prices to the level before the agreement.</w:t>
      </w:r>
    </w:p>
    <w:p>
      <w:r>
        <w:t>3. The company recently submitted a proposal to the health insurance funds for compensation of the extra costs resulting from the price agreement. In applying its leniency programme, the Bundeskartellamt refrained from imposing a fine because of Grünenthal’s extensive cooperation with the investigations.</w:t>
      </w:r>
    </w:p>
    <w:p>
      <w:r>
        <w:t>4. Infectopharm has reduced its prices as well. After the Bundeskartellamt’s intervention, Infectopharm also agreed to pay for the losses incurred to the health insurance funds. A fine was not imposed in this case, either, because of Infectopharm's low market share and the company's consent to make up for the losses.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