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https://www.bundeskartellamt.de/SharedDocs/Entscheidung/DE/Fallberichte/Fusionskontrolle/2019/B3-157-18.pdf;jsessionid=2228B35C8A2730887EF46F9C36929FE3.2_cid362?__blob=publicationFile&amp;v=2</w:t>
      </w:r>
    </w:p>
    <w:p>
      <w:r>
        <w:t>Pages translated : 3</w:t>
      </w:r>
    </w:p>
    <w:p/>
    <w:p>
      <w:r>
        <w:rPr>
          <w:b/>
        </w:rPr>
        <w:t>[Pages 1–3]</w:t>
      </w:r>
    </w:p>
    <w:p>
      <w:r>
        <w:t xml:space="preserve">Case Report May 2, 2019  </w:t>
        <w:br/>
        <w:t xml:space="preserve">Withdrawal of the application for the acquisition of Sana Kliniken Ostholstein by AMEOS  </w:t>
        <w:br/>
        <w:t xml:space="preserve">Industry: Hospitals  </w:t>
        <w:br/>
        <w:t xml:space="preserve">File Number: B3-157/18  </w:t>
        <w:br/>
        <w:t>Date of Decision: March 18, 2019 (Withdrawal of the application)</w:t>
      </w:r>
    </w:p>
    <w:p>
      <w:r>
        <w:t>The application for the project of the AMEOS Group to acquire 94.8 percent of the shares in Sana Kliniken Ostholstein GmbH through its subsidiary AMEOS Psychiatrie Holding GmbH was examined in detail within the framework of a merger control main examination procedure, during which extensive investigations were conducted. These led to the preliminary conclusion that the merger would significantly impede effective competition in the regional hospital market in Ostholstein. After the Federal Cartel Office communicated its competitive concerns regarding the project to the parties in a detailed written presentation (so-called "warning"), the application was withdrawn without a response. The procedure has thus concluded due to the withdrawal of the application without a final decision from the Office (and possibly its judicial review). The merger may therefore not be executed without a new merger control procedure. The basis for the warning was the following investigation results and assessments:</w:t>
      </w:r>
    </w:p>
    <w:p>
      <w:r>
        <w:t xml:space="preserve">The merger project was, in substantive terms, affected by the product market for the provision of acute inpatient somatic hospital services, according to the consistent, highest court-confirmed practice of market delineation by the Federal Cartel Office.1 In this area, the activities of the parties overlap in the affected spatially relevant market, which, according to the investigations of the Office in the present case, encompasses the market of Ostholstein,  </w:t>
        <w:br/>
        <w:t>1 See also Case Report B3-122/18.</w:t>
      </w:r>
    </w:p>
    <w:p>
      <w:r>
        <w:t xml:space="preserve">- 2 -  </w:t>
        <w:br/>
        <w:t>which is largely identical with the district of Ostholstein. This spatial market delineation was based on the actual patient flows, including those to the university hospitals Campus Lübeck and Campus Kiel.2</w:t>
      </w:r>
    </w:p>
    <w:p>
      <w:r>
        <w:t>The target company Sana Kliniken Ostholstein operates the Inselklinik Fehmarn on the island of Fehmarn, the Sana Klinik Oldenburg in Oldenburg i.H., the Sana Klinik Eutin in Eutin, and the Sana Klinik Middelburg in Süsel. Except for the Sana Klinik Middelburg, all clinics of the target company are general hospitals; i.e., they have at least a surgical department and a department of internal medicine. Together, they achieve a market share of approximately 35 - 40 percent by cases. Sana Kliniken Ostholstein is thus the leading hospital operator in the Ostholstein market without the merger.</w:t>
      </w:r>
    </w:p>
    <w:p>
      <w:r>
        <w:t>The acquirer AMEOS Psychiatrie is itself hardly active in the Ostholstein market for acute inpatient somatic hospital services; however, it is connected under § 36 Abs. 2 GWB with the closest competitor of the target company, the Schön Klinik Neustadt. The Schön Klinik Neustadt is also a general hospital with planned beds in surgery, internal medicine, and additionally in neurology. It achieves a market share of approximately 15 - 20 percent by cases in the Ostholstein market.</w:t>
      </w:r>
    </w:p>
    <w:p>
      <w:r>
        <w:t xml:space="preserve">Both hospital operators are part of the portfolio of fund companies, which each control them and which in turn are controlled by The Carlyle Group, Washington (USA).  </w:t>
        <w:br/>
        <w:t>The Carlyle Group is a private equity firm. Its business operations include, among other things, acquiring stakes in companies through various fund companies, increasing the market value of these companies through strategic and operational measures, and selling the stake or the company as a whole after a few years. This business model requires close control of the companies. The increased market value of these companies is the basis for the return on the invested capital of the investors. Different investment objectives, a different composition of investor groups, as well as different fund durations and return expectations of various fund companies of a private equity firm are regularly irrelevant for their connection under § 36 Abs. 2 GWB. It is sufficient that there is a possibility of influencing strategic decisions of the portfolio company. Actual influence is not relevant.</w:t>
      </w:r>
    </w:p>
    <w:p>
      <w:r>
        <w:t>According to the registered merger, all somatic general hospitals located in the Ostholstein market would have been jointly controlled by the Carlyle Group. In the relevant market for acute inpatient hospital services in Ostholstein, the AMEOS Group, the Schön Klinik Neustadt, and Sana Kliniken Ostholstein together would have a market share of approximately 55 - 60 percent by cases and would be dominant in the market.</w:t>
      </w:r>
    </w:p>
    <w:p>
      <w:r>
        <w:t>The distance of the companies connected after the merger to the next competitor, the University Hospital Schleswig-Holstein, Campus Lübeck, with a market share of approximately 10 - 15 percent by cases, is over 45 percentage points. Following that is the University Hospital Schleswig-Holstein, Campus Kiel, with a market share in Ostholstein of 5 - 10 percent by cases. Additionally, the two locations of the University Hospital Schleswig-Holstein are not directly located in the Ostholstein market and do not exhibit any particular competitive proximity to the merger participants and the Schön Klinik Neustadt. The project would therefore have led to a significant impediment to effective competition.</w:t>
      </w:r>
    </w:p>
    <w:p>
      <w:r>
        <w:t>Since merger projects, especially those involving a public-law entity, often require extensive political processes in the bodies of the local authorities, the Federal Cartel Office offers all hospital operators the opportunity to conduct an informal preliminary examination for their specific merger projects at an early stage, so that in the event of antitrust problems, these processes do not have to be repeated and possibly other solutions can be considered. These preliminary examinations are free of charge.</w:t>
      </w:r>
    </w:p>
    <w:p>
      <w:r>
        <w:t>In the past, such early preliminary examinations have always led to very reliable assessments of whether the planned projects are associated with antitrust concerns. In the present case, there had also been such a preliminary examination, and the emerging antitrust concerns were already communicated orally to the merger participants at the end of 2018 and were confirmed in this case during the subsequent examination following the formal registration of the merger.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