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https://www.bundeskartellamt.de/SharedDocs/Entscheidung/DE/Entscheidungen/Missbrauchsaufsicht/2015/B3-164-14.pdf;jsessionid=2EA24A6DC419B24C1CB47A28A05495E9.1_cid371?__blob=publicationFile&amp;v=2</w:t>
      </w:r>
    </w:p>
    <w:p>
      <w:r>
        <w:t>Pages translated : 17</w:t>
      </w:r>
    </w:p>
    <w:p/>
    <w:p>
      <w:r>
        <w:rPr>
          <w:b/>
        </w:rPr>
        <w:t>[Pages 1–3]</w:t>
      </w:r>
    </w:p>
    <w:p>
      <w:r>
        <w:t xml:space="preserve">3. Decision Division  </w:t>
        <w:br/>
        <w:t xml:space="preserve">B 3 – 164/14  </w:t>
        <w:br/>
        <w:t xml:space="preserve">COMMITMENT OFFERS  </w:t>
        <w:br/>
        <w:t xml:space="preserve">SodaStream  </w:t>
        <w:br/>
        <w:t xml:space="preserve">Public Version  </w:t>
        <w:br/>
        <w:t xml:space="preserve">ADMINISTRATIVE PROCEDURE  </w:t>
        <w:br/>
        <w:t xml:space="preserve">DECISION  </w:t>
        <w:br/>
        <w:t xml:space="preserve">PURSUANT TO § 32 b GWB  </w:t>
        <w:br/>
        <w:t xml:space="preserve">In the cartel administrative procedure  </w:t>
        <w:br/>
        <w:t xml:space="preserve">against  </w:t>
        <w:br/>
        <w:t xml:space="preserve">SodaStream GmbH, Limburg an der Lahn  </w:t>
        <w:br/>
        <w:t xml:space="preserve">– Involved Party –  </w:t>
        <w:br/>
        <w:t xml:space="preserve">Legal Representative:  </w:t>
        <w:br/>
        <w:t xml:space="preserve">Attorney Dr. Klusmann  </w:t>
        <w:br/>
        <w:t xml:space="preserve">Freshfields Bruckhaus Deringer LLP  </w:t>
        <w:br/>
        <w:t xml:space="preserve">Feldmühleplatz 1  </w:t>
        <w:br/>
        <w:t xml:space="preserve">40545 Düsseldorf  </w:t>
        <w:br/>
        <w:t xml:space="preserve">regarding the examination of a violation of Article 102 TFEU and § 19 Abs. 2 Nr. 1 GWB, the  </w:t>
        <w:br/>
        <w:t xml:space="preserve">3. Decision Division of the Federal Cartel Office decided on January 22, 2015:  </w:t>
        <w:br/>
        <w:t>1. The commitment offers made by the involved party in a letter dated September 30, 2014, and listed under item III of this decision are binding for the involved party.</w:t>
      </w:r>
    </w:p>
    <w:p>
      <w:r>
        <w:t xml:space="preserve">- 2 -  </w:t>
        <w:br/>
        <w:t xml:space="preserve">2. The proceedings against the involved party are terminated in accordance with § 32 b Abs. 1 sentence 2 GWB.  </w:t>
        <w:br/>
        <w:t xml:space="preserve">3. The fee for the proceedings, including the decision, amounts to […]. The fee debtor is the involved party. Expenses will be charged separately.  </w:t>
        <w:br/>
        <w:t xml:space="preserve">Reasons:  </w:t>
        <w:br/>
        <w:t xml:space="preserve">I. Facts  </w:t>
        <w:br/>
        <w:t xml:space="preserve">The Soda-Club corporate group was founded in 1991 and is now active worldwide. In 2010, Soda-Club was renamed SodaStream. The parent company SodaStream International Ltd. has been listed on the US stock exchange NASDAQ since November 2010. The brand name Soda-Club has not been used since then.  </w:t>
        <w:br/>
        <w:t xml:space="preserve">SodaStream produces and sells sparkling water systems for home use. With these systems, the end consumer can produce their own sparkling water by carbonating tap water. A system consists of three components: (1) a carbonation device, (2) a PET/PEN bottle, and (3) a carbon dioxide cylinder. In addition, SodaStream also produces and sells flavor concentrates that can be mixed with carbonated water.  </w:t>
        <w:br/>
        <w:t xml:space="preserve">The end consumer purchases the three aforementioned components of the sparkling water system from SodaStream as a set – i.e., the device including a filled carbon dioxide cylinder and a PET or glass bottle for producing mineral water. The end consumer typically exchanges the empty CO2 cylinders at retail for a fee for filled CO2 cylinders. The retail partners forward the empty cylinders to SodaStream for refilling. Retail partners of SodaStream in Germany include, among others, large retail companies and drugstore chains.  </w:t>
        <w:br/>
        <w:t>By decision dated February 9, 2006, the Federal Cartel Office prohibited the system practiced by Soda-Club as an abuse of a dominant market position pursuant to § 19 GWB and Article 102 TFEU and established that companies that had not entered into a distribution agreement with Soda-Club or had terminated such an agreement could refill the rental cylinders from end consumers themselves or have them filled by filling companies in compliance with legal regulations and market them, as well as that end consumers could exchange and refill Soda-Club rental cylinders at companies of their choice.</w:t>
      </w:r>
    </w:p>
    <w:p>
      <w:r>
        <w:t xml:space="preserve">- 3 -  </w:t>
        <w:br/>
        <w:t xml:space="preserve">Soda-Club was further ordered to indicate within two months on the labels of their cylinders the possibilities of refilling by third parties and additionally to affix a clearly legible notice in a 4 x 10 cm box on the labels with the content:  </w:t>
        <w:br/>
        <w:t xml:space="preserve">"This cylinder as well as all other cylinders of the currently circulating cylinder stock may be refilled not only by Soda-Club, but – in compliance with legal regulations – also by other filling companies."  </w:t>
        <w:br/>
        <w:t xml:space="preserve">The decision was essentially confirmed by the Higher Regional Court (OLG) Düsseldorf on March 14, 2007. The Federal Court of Justice (BGH) dismissed Soda-Club's legal complaint by decision of March 4, 2008, with the stipulation that the obligation to provide notice on the labels is limited to a duration of three years from the finality of the decision.  </w:t>
        <w:br/>
        <w:t xml:space="preserve">Although SodaStream has since modified the distribution system, it has made statements in the product information and terms of service that, in the opinion of the Federal Cartel Office, contradict its final decision of February 9, 2006. The Federal Cartel Office has the following documents with corresponding statements. The passages to be criticized are underlined.  </w:t>
        <w:br/>
        <w:t xml:space="preserve">1. On the Soda-Stream shrink film directly on the cylinder, as well as on the packaging for the SodaStream Reserve Cylinder, the following print is found:  </w:t>
        <w:br/>
        <w:t xml:space="preserve">"This Soda Stream cylinder is provided solely for use and remains the property of Soda-Club (CO2) SA. It should only be maintained and filled by Soda Club. Unauthorized refilling of the Soda-Stream cylinders by third parties could be risky and illegal and violate the rights of SodaStream. SodaStream guarantees only the safety of the Soda-Stream cylinders that have been refilled by SodaStream and are equipped with a SodaStream safety valve. Please return this cylinder when empty to SodaStream or an authorized SodaStream dealer; you will then either receive a full SodaStream cylinder in exchange for the price of just a gas refill or you can return this cylinder in good condition permanently under the terms of the attached user certificate."  </w:t>
        <w:br/>
        <w:t>Warning notices (...)</w:t>
      </w:r>
    </w:p>
    <w:p>
      <w:r>
        <w:rPr>
          <w:b/>
        </w:rPr>
        <w:t>[Pages 4–6]</w:t>
      </w:r>
    </w:p>
    <w:p>
      <w:r>
        <w:t>- 4 -</w:t>
        <w:br/>
        <w:t xml:space="preserve">At the order of the Federal Cartel Office, Soda-Club/SodaStream must provide the following information:  </w:t>
        <w:br/>
        <w:t xml:space="preserve">This cylinder as well as all other cylinders of the currently circulating cylinder stock may be refilled not only by Soda-Club/SodaStream, but – in compliance with legal regulations* – also by other filling companies.  </w:t>
        <w:br/>
        <w:t xml:space="preserve">2. The user certificate contains the following text:  </w:t>
        <w:br/>
        <w:t xml:space="preserve">"SodaStream User Certificate for a Soda-Club/SodaStream Cylinder  </w:t>
        <w:br/>
        <w:t xml:space="preserve">not for sale, property of Soda-Club (Co), - for use  </w:t>
        <w:br/>
        <w:t xml:space="preserve">This is a legally binding document between Soda-Club /CO”) SA, Switzerland, or its affiliated companies and the consumer regarding the right to use a Soda-Club/SodaStream cylinder (the “cylinder”).  </w:t>
        <w:br/>
        <w:t xml:space="preserve">To protect the safety and health of consumers, there are several guidelines and regulations that govern the use, refilling, maintenance, inspection, and servicing of pressure vessels (cylinders).  </w:t>
        <w:br/>
        <w:t xml:space="preserve">SodaStream has the legally required knowledge, expertise, and technical know-how to assume responsibility for compliance with legal standards. However, this can only be ensured if the cylinders are maintained, inspected, retested, and refilled by SodaStream. Thus, each cylinder remains the property of Soda-Club (CO) SA or its affiliated companies and is only made available for use.  </w:t>
        <w:br/>
        <w:t xml:space="preserve">1. Please return the cylinder when it is empty either to SodaStream or to an authorized SodaStream dealer; you will then receive a full cylinder in exchange for the price of only one gas refill. This certificate remains binding for the use of any further cylinder. If you wish to return the cylinder without exchanging it, please return it to SodaStream for safe disposal.  </w:t>
        <w:br/>
        <w:t xml:space="preserve">2. Refilling empty cylinders by third parties could be extremely risky. Unauthorized refilling is illegal and infringes the rights of SodaStream. SodaStream guarantees the safety of the cylinders that have been filled by SodaStream itself and are equipped with a Soda-Club/SodaStream safety valve.  </w:t>
        <w:br/>
        <w:t xml:space="preserve">3. The cylinder can be transferred together with this user certificate to third parties, provided that the respective third party agrees to be bound by the conditions and ownership rights set forth herein. The possession of this user certificate grants its holder the right to use a cylinder under the conditions specified herein.  </w:t>
        <w:br/>
        <w:t xml:space="preserve">This certificate is subject to German law."  </w:t>
        <w:br/>
        <w:t xml:space="preserve">The user certificate thus reiterates the findings and requests of the aforementioned packaging notice, that the cylinder must be returned for refilling to SodaStream or an authorized dealer and that refilling empty cylinders by third parties is extremely risky.  </w:t>
        <w:br/>
        <w:t xml:space="preserve">3. In the User Manual, on page 15 under paragraph 2 sentence 3 in the chapter "Additional Information," the following notice can be found:  </w:t>
        <w:br/>
        <w:t xml:space="preserve">"Therefore, only use suitable Soda-Club/SodaStream cylinders that have been filled by an authorized Soda-Club/SodaStream filling station, which are available at authorized Soda-Club/SodaStream dealers."  </w:t>
        <w:br/>
        <w:t xml:space="preserve">4. In the SodaStream Source Instruction Manual, the following notices can be found under subpoints 2 and 4:  </w:t>
        <w:br/>
        <w:t xml:space="preserve">"Modification, disassembly, repair, or other service not performed by SodaStream customer service."  </w:t>
        <w:br/>
        <w:t xml:space="preserve">(...)  </w:t>
        <w:br/>
        <w:t xml:space="preserve">"Only SodaStream or its representatives are authorized to offer warranty repairs or services related to your sparkling water maker..."  </w:t>
        <w:br/>
        <w:t xml:space="preserve">5. In the SodaStream package insert for sparkling water makers, the following sentence 4 is included in chapter "D":  </w:t>
        <w:br/>
        <w:t xml:space="preserve">"...You can exchange an empty SodaStream cylinder either at International BV or an authorized SodaStream retailer for a full cylinder only at the price of the gas refill..."  </w:t>
        <w:br/>
        <w:t xml:space="preserve">6. Also, in the past, various notices from SodaStream were found on the internet highlighting the right of exclusive refilling:  </w:t>
        <w:br/>
        <w:t xml:space="preserve">"SodaStream Cylinders  </w:t>
        <w:br/>
        <w:t xml:space="preserve">For use in devices for producing sparkling beverages  </w:t>
        <w:br/>
        <w:t xml:space="preserve">NOT FOR SALE  </w:t>
        <w:br/>
        <w:t xml:space="preserve">SodaStream cylinders (“the cylinder(s)”) are and remain, depending on the inscription on the cylinder, the property of Soda-Club (CO”) Ltd. or the affiliated company (“the owner of the cylinders”). No one is authorized to accept, collect, sell, rent, lend, lease, fill, or transfer these cylinders unless expressly authorized to do so.  </w:t>
        <w:br/>
        <w:t xml:space="preserve">(...)  </w:t>
        <w:br/>
        <w:t xml:space="preserve">Soda-Club has the legally required know-how, expertise, and documentation that enables it to assume responsibility for the faithful compliance with legal regulations towards dealers, logistics suppliers, sales personnel, and consumers.  </w:t>
        <w:br/>
        <w:t xml:space="preserve">However, Soda-Club can only ensure this if the SodaStream carbon dioxide cylinders are stored, maintained, inspected, tested, and refilled only by Soda-Club itself (or by its authorized licensees).  </w:t>
        <w:br/>
        <w:t xml:space="preserve">Thus, Soda-Club must reserve the right of exclusive refilling by itself or its authorized licensees (...)  </w:t>
        <w:br/>
        <w:t xml:space="preserve">II. Proceedings  </w:t>
        <w:br/>
        <w:t>After examining the facts, the decision division has come to the assessment that the texts used by the party involved violate antitrust law.</w:t>
      </w:r>
    </w:p>
    <w:p>
      <w:r>
        <w:rPr>
          <w:b/>
        </w:rPr>
        <w:t>[Pages 7–9]</w:t>
      </w:r>
    </w:p>
    <w:p>
      <w:r>
        <w:t>- 7 -</w:t>
        <w:br/>
        <w:t>The competition law concerns were communicated to the party involved after a search of the company during discussions on July 19, 2012, and July 24, 2014, as well as by letter dated August 5, 2014. On August 26, 2014, the decision division conducted a detailed meeting with the legal representatives of the party involved regarding the highlighted competition law concerns, at the end of which the Federal Cartel Office indicated the necessary changes in the affected regulations to eliminate the competition law concerns. They stated through their legal representatives that two formulations were translation errors. SodaStream would otherwise comply with all amendment proposals of the office, insofar as this is justifiable from a safety perspective. Currently, there are cylinders in circulation that are not compatible with SodaStream's carbonation devices. Consumers must be made aware that the use of third-party cylinders is not unproblematic. Furthermore, SodaStream must be allowed to refer to its own offers. The party involved has indicated a willingness to amend the relevant provisions criticized by the office.</w:t>
      </w:r>
    </w:p>
    <w:p>
      <w:r>
        <w:t>III. Commitments</w:t>
        <w:br/>
        <w:t xml:space="preserve">The commitments offered by the party involved in a letter dated September 30, 2014, have the following content:  </w:t>
        <w:br/>
        <w:t xml:space="preserve">"To amicably conclude the proceedings in accordance with § 32 b GWB, SodaStream offers to commit as follows:  </w:t>
        <w:br/>
        <w:t xml:space="preserve">Text changes: SodaStream commits to the following text changes, which will be implemented by no later than March 1, 2015:  </w:t>
        <w:br/>
        <w:t xml:space="preserve">1. On the outer packaging of the reserve cylinder as well as the shrink wrap directly on the cylinder, it will henceforth state:  </w:t>
        <w:br/>
        <w:t xml:space="preserve">"This SodaStream cylinder is provided solely for use and remains the property of Soda-Club (CO2) SA. Improper refilling of SodaStream cylinders can be risky and illegal. SodaStream guarantees the safety of SodaStream cylinders that have been refilled by SodaStream itself and are equipped with a SodaStream safety valve. When you return an empty cylinder to SodaStream or an authorized SodaStream dealer, you will receive either a full SodaStream cylinder in exchange for the price of just one gas refill, or you can permanently return this cylinder in good condition."  </w:t>
        <w:br/>
        <w:t xml:space="preserve">2. Paragraph 3 sentence 2 of the user certificate will henceforth read:  </w:t>
        <w:br/>
        <w:t xml:space="preserve">"This is ensured when the cylinders are maintained, inspected, repeatedly tested, and refilled by SodaStream."  </w:t>
        <w:br/>
        <w:t xml:space="preserve">Paragraph 4 sentences 1 and 2 will henceforth read:  </w:t>
        <w:br/>
        <w:t xml:space="preserve">"1. When you return the empty cylinder to SodaStream or to an authorized SodaStream dealer, you will receive a full cylinder in exchange for the price of just one gas refill. This certificate remains valid for the use of any further cylinder."  </w:t>
        <w:br/>
        <w:t xml:space="preserve">Paragraph 5 sentences 1 and 2 will henceforth read:  </w:t>
        <w:br/>
        <w:t xml:space="preserve">"2. Improper refilling of empty cylinders can be risky and illegal. SodaStream guarantees the safety of the cylinders that have been filled by SodaStream itself and are equipped with a Soda-Club/SodaStream safety valve seal."  </w:t>
        <w:br/>
        <w:t xml:space="preserve">Paragraph 6 sentence 1 will henceforth read:  </w:t>
        <w:br/>
        <w:t xml:space="preserve">"3. The cylinder can be transferred together with the rights from this user certificate to third parties."  </w:t>
        <w:br/>
        <w:t xml:space="preserve">3. Sentence 3 of paragraph 2 of the section "ADDITIONAL INFORMATION" on p. 15 of the User Manual "CY8001" will henceforth read:  </w:t>
        <w:br/>
        <w:t xml:space="preserve">"Therefore, only use suitable Soda-Club/SodaStream cylinders."  </w:t>
        <w:br/>
        <w:t xml:space="preserve">Sentence 4 under the heading "SODA-CLUB/SODASTREAM CYLINDERS" on p. 11 of the User Manual "C100/Cool, A200/Jet/Stream/Jet 100, DS5001/Design/Dynamo" will henceforth read:  </w:t>
        <w:br/>
        <w:t>"When you return the empty cylinder to SodaStream or to an authorized SodaStream dealer, you will receive a full cylinder in exchange for the price of just one gas refill."</w:t>
      </w:r>
    </w:p>
    <w:p>
      <w:r>
        <w:t>- 9 -</w:t>
        <w:br/>
        <w:t xml:space="preserve">4. Subpoint 2 of the enumeration in the SodaStream Source Instruction Manual "This warranty does NOT include:" on p. 32 will henceforth read:  </w:t>
        <w:br/>
        <w:t xml:space="preserve">"• Modification, removal, repair not carried out by SodaStream customer service."  </w:t>
        <w:br/>
        <w:t xml:space="preserve">Subpoint 4 sentence 1 of the enumeration "This warranty does NOT include:" on p. 32 will henceforth read:  </w:t>
        <w:br/>
        <w:t xml:space="preserve">"• Only SodaStream or its representatives are authorized to offer warranty repairs for your drinking water carbonator."  </w:t>
        <w:br/>
        <w:t xml:space="preserve">5. Sentence 4 of the SodaStream package insert for drinking water carbonators (SodaStream EN SodaStream CO2 Cylinder – Under License) under the heading "D SodaStream CO2 Cylinder – NOT FOR SALE" will henceforth read:  </w:t>
        <w:br/>
        <w:t xml:space="preserve">"When you return the empty cylinder to SodaStream or to an authorized SodaStream dealer, you will receive a full cylinder in exchange for the price of just one gas refill."  </w:t>
        <w:br/>
        <w:t xml:space="preserve">6. Continuation of the warning notice:  </w:t>
        <w:br/>
        <w:t xml:space="preserve">SodaStream commits to continue to affix the label "This cylinder as well as all other cylinders of the currently circulating cylinder stock may be refilled not only by Soda-Club/SodaStream, but – in compliance with legal regulations – also by other filling companies." on the shrink wrap on the cylinder for three years after the legal validity of the commitment declaration. The sentence preceding the label "At the request of the Federal Cartel Office, Soda-Club/SodaStream must provide the following information:" will be removed.  </w:t>
        <w:br/>
        <w:t xml:space="preserve">7. Online presence:  </w:t>
        <w:br/>
        <w:t>Should SodaStream wish to resume direct business with carbonation refills via the internet within five years after the legal validity of the commitment declaration, SodaStream commits to present the corresponding text to the decision division beforehand.</w:t>
      </w:r>
    </w:p>
    <w:p>
      <w:r>
        <w:rPr>
          <w:b/>
        </w:rPr>
        <w:t>[Pages 10–12]</w:t>
      </w:r>
    </w:p>
    <w:p>
      <w:r>
        <w:t>- 10 -</w:t>
        <w:br/>
        <w:t xml:space="preserve">8. Five-Year Binding Effect  </w:t>
        <w:br/>
        <w:t xml:space="preserve">SodaStream commits to consult the decision division prior to any intended deviation from the promised text changes for five years following the legal validity of the commitment declaration.  </w:t>
        <w:br/>
        <w:t xml:space="preserve">IV. Competitive Concerns  </w:t>
        <w:br/>
        <w:t xml:space="preserve">After examining the facts, the decision division has come to the assessment that SodaStream, formerly Soda-Club, has maintained the practice of hindering the exchange and refilling of CO2 cartridges for use in drinking water carbonation devices by dealers and refillers not authorized by it, thereby both abusing its own dominant market position and violating the legally binding decision of the authority dated February 9, 2006 (hereinafter also referred to as the abuse decision). The competitive concerns were first communicated to the party involved during the search on May 15, 2012. The opinion of the decision division is based on the considerations set forth below.  </w:t>
        <w:br/>
        <w:t xml:space="preserve">1. Violation of Article 102 TFEU  </w:t>
        <w:br/>
        <w:t xml:space="preserve">1.1. Norm Addressee Status  </w:t>
        <w:br/>
        <w:t xml:space="preserve">SodaStream holds a dominant market position in accordance with Article 102 TFEU.  </w:t>
        <w:br/>
        <w:t xml:space="preserve">a) Market Definition  </w:t>
        <w:br/>
        <w:t>For market definition, all products that are particularly suitable for satisfying a consistent demand due to their characteristics and are interchangeable with other products must be grouped together. The Higher Regional Court of Düsseldorf, confirmed by the Federal Court of Justice, has established that a separate relevant market for the filling of CO2 cylinders for use in carbonation devices is to be assumed.</w:t>
      </w:r>
    </w:p>
    <w:p>
      <w:r>
        <w:t>- 11 -</w:t>
        <w:br/>
        <w:t xml:space="preserve">b) Existence of a Dominant Market Position  </w:t>
        <w:br/>
        <w:t xml:space="preserve">The existence of a dominant market position by Soda-Club under Article 102 TFEU for the year 2002 was already established in the decision of the authority dated 09.02.2006 (see there para. 105 ff) and was confirmed by both the Higher Regional Court of Düsseldorf (OLG Düsseldorf, decision of 14.03.2007, VI-Kart 5/06 (V) – Soda-Club) and the Federal Court of Justice (BGH, decision of 04.03.2008, KVR 21/07 – Soda-Club). The investigations by the Federal Cartel Office in the context of the Soda-Club proceedings (Case No. B3-39/03) revealed a market share of 70% for Soda-Club in the market for the filling of cylinders with CO2 for the year 2002. This dominant position was further expanded by SodaStream in the subsequent period, among other things, through the acquisition of Wassermax in 2009. Thus, SodaStream has a market share of over 80% in the refilling market and has increased its market share by quantity compared to the findings of the abuse decision from 2006 by [ ]. In an assessment of the revenue shares, the market share is […].  </w:t>
        <w:br/>
        <w:t xml:space="preserve">1.2. Abusive Behavior in the Sense of Article 102 TFEU  </w:t>
        <w:br/>
        <w:t xml:space="preserve">According to the consistent case law of the Court of Justice of the European Communities, the concept of abusive exploitation is an objective concept. It encompasses the behaviors of a company in a dominant position that can influence the structure of the market, which, due to the presence of existing competition or its development, hinders competition through means that deviate from the means of normal product and service competition based on the performance of the economic participants. The system practiced by SodaStream until 2008 aimed at eliminating competitors in the filling market by systematically excluding competing filling companies from filling the Soda-Club rental cylinders. With its various warning and safety notices as well as warranty disclaimers, SodaStream also later created the impression – contrary to the decision of the authority confirmed by the courts – that it alone was entitled to fill the cylinders. The following indications (highlighted above by underlining) support this conclusion:  </w:t>
        <w:br/>
        <w:t xml:space="preserve">- the cylinders are to be maintained and filled exclusively by SodaStream,  </w:t>
        <w:br/>
        <w:t xml:space="preserve">- unauthorized refilling of SodaStream cylinders by third parties could be risky and illegal and violate the rights of SodaStream,  </w:t>
        <w:br/>
        <w:t xml:space="preserve">- SodaStream only guarantees the safety of SodaStream cylinders that have been refilled by SodaStream,  </w:t>
        <w:br/>
        <w:t xml:space="preserve">- the cylinder is to be returned to SodaStream or an authorized dealer when empty.  </w:t>
        <w:br/>
        <w:t xml:space="preserve">The request to customers is clear: the cylinder, when empty, is to be returned exclusively to SodaStream or an authorized SodaStream dealer. The prospect of a possible loss of warranty and the indication that refilling by third parties is risky and illegal further reinforces this request.  </w:t>
        <w:br/>
        <w:t xml:space="preserve">Soda-Club has complied with the wording of the decision and has affixed a label (4 cm x 10 cm) on the rental cylinders with a clearly readable text that indicates the possibility of refilling by third parties. However, this requirement was relativized by the preceding text. The explicit indication that this is done at the request of the authority creates the impression of distancing from this statement. The customer is led to believe that only refilling by SodaStream is safe and warranty-preserving, and that refilling by third parties is only recommended out of necessity. This impression is further reinforced as this text is placed under the heading "Warning Notices."  </w:t>
        <w:br/>
        <w:t xml:space="preserve">The BGH has explicitly stated that it is abusive for SodaStream to reserve the exclusive right to refill.  </w:t>
        <w:br/>
        <w:t xml:space="preserve">"The impairment of property associated with refilling must be accepted by Soda-Club (...). It is abusive if Soda-Club uses its ownership of the cylinders to reserve the exclusive right to refill for itself against customers and competitors. This reservation leads to competitors being excluded from refilling Soda-Club cylinders while Soda-Club accepts the CO2 cylinders of competitors and exchanges them for filled Soda-Club cylinders."  </w:t>
        <w:br/>
        <w:t xml:space="preserve">The BGH has further clarified that the safety considerations presented do not justify an exclusive right to refill:  </w:t>
        <w:br/>
        <w:t>"Even the safety considerations invoked by the legal complaint cannot justify the system practiced by Soda-Club with the exclusive right to refill. As the appellate court has explained in detail, neither the provisions of Directive 1999/36/EC of the Council of April 29, 1999, on portable pressure equipment nor the regulations of</w:t>
      </w:r>
    </w:p>
    <w:p>
      <w:r>
        <w:rPr>
          <w:b/>
        </w:rPr>
        <w:t>[Pages 13–15]</w:t>
      </w:r>
    </w:p>
    <w:p>
      <w:r>
        <w:t>- 13 -</w:t>
        <w:br/>
        <w:t xml:space="preserve">the Regulation on Portable Pressure Equipment of December 17, 2004, regarding materials and objects intended to come into contact with food, a necessity cannot be derived to always market carbon dioxide cylinders in such a way that the manufacturer retains the right to refill them."  </w:t>
        <w:br/>
        <w:t xml:space="preserve">According to the assessment of the decision division, SodaStream has hindered the acceptance, filling, and transfer of the cylinders by third parties who are not in any contractual relationship with its own company. It is also not contradicted by the fact that SodaStream has restructured the rental cylinder system. The aforementioned statements of the BGH indicate that it makes no difference whether customers rent, lease, or purchase the cylinder with a retention of title.  </w:t>
        <w:br/>
        <w:t xml:space="preserve">2. Violation of § 19 Abs. 2 Nr. 1 GWB  </w:t>
        <w:br/>
        <w:t xml:space="preserve">Furthermore, SodaStream has violated § 19 Abs. 2 Nr. 1 GWB.  </w:t>
        <w:br/>
        <w:t xml:space="preserve">2.1. Norm-Addressee Status  </w:t>
        <w:br/>
        <w:t xml:space="preserve">As established in the context of Article 102 TFEU, a dominant market position also exists in the sense of § 18 GWB.  </w:t>
        <w:br/>
        <w:t xml:space="preserve">2.2. Abusive Behavior in the Sense of § 19 Abs. 2 Nr. 1 GWB  </w:t>
        <w:br/>
        <w:t xml:space="preserve">In this regard, reference can be made to the statements on abusive behavior under Article 102 TFEU.  </w:t>
        <w:br/>
        <w:t xml:space="preserve">3. Violation of an Order of the Federal Cartel Office  </w:t>
        <w:br/>
        <w:t xml:space="preserve">According to the assessment of the decision division, SodaStream has also violated an enforceable order of the Federal Cartel Office in the sense of § 30 Abs. 1 GWB and thus fulfilled the criteria of § 81 Abs. 2 Nr. 2 a) GWB.  </w:t>
        <w:br/>
        <w:t>The abuse order was sufficiently specific and was essentially confirmed by the BGH. The unequivocal statement of the legally binding order has been undermined by the accompanying texts from SodaStream. According to the opinion of the decision division, SodaStream violates the measures ordered in the abuse order, which became legally binding on March 4, 2008. In this regard, reference can be made to the aforementioned explanations.</w:t>
      </w:r>
    </w:p>
    <w:p>
      <w:r>
        <w:t>- 14 -</w:t>
        <w:br/>
        <w:t xml:space="preserve">After reviewing the facts, the Federal Cartel Office has come to the assessment that the behavior described above by SodaStream violates antitrust law.  </w:t>
        <w:br/>
        <w:t xml:space="preserve">V. Jurisdiction of the Federal Cartel Office  </w:t>
        <w:br/>
        <w:t xml:space="preserve">The Federal Cartel Office is competent according to § 48 Abs. 2 Satz 1 GWB, as the contractual provisions described above aim to and result in a market closure for refilling against other competitors, according to preliminary assessment.  </w:t>
        <w:br/>
        <w:t xml:space="preserve">VI. The Commitments are Suitable to Eliminate the Concerns  </w:t>
        <w:br/>
        <w:t xml:space="preserve">The commitments offered by the party involved and reproduced under III. are suitable to eliminate the currently existing competition restrictions described above, according to preliminary assessment.  </w:t>
        <w:br/>
        <w:t xml:space="preserve">The Federal Cartel Office initially established the competition-restricting effect of the contested text passages.  </w:t>
        <w:br/>
        <w:t xml:space="preserve">The market closure described above is eliminated by the binding commitments declared. Accordingly, all text passages are to be removed,  </w:t>
        <w:br/>
        <w:t xml:space="preserve">- that demand filling of the cylinders exclusively by SodaStream or an authorized dealer,  </w:t>
        <w:br/>
        <w:t xml:space="preserve">- that speak of unauthorized refilling of SodaStream cylinders by third parties,  </w:t>
        <w:br/>
        <w:t xml:space="preserve">- that provide for an obligation to return the cylinders to SodaStream or an authorized dealer.  </w:t>
        <w:br/>
        <w:t xml:space="preserve">Furthermore, the guarantee statement is to be clarified in such a way that filling by third parties may lead to a warranty exclusion. However, SodaStream guarantees the safety of the SodaStream cylinders that have been refilled by SodaStream. Such a statement is neither abusive nor discriminatory.  </w:t>
        <w:br/>
        <w:t>Therefore, the decision division declares the commitments binding within the scope of its discretion and terminates the proceedings in accordance with § 32 b Abs. 1 Satz 2 GWB.</w:t>
      </w:r>
    </w:p>
    <w:p>
      <w:r>
        <w:t>- 15 -</w:t>
        <w:br/>
        <w:t xml:space="preserve">VII. Fees  </w:t>
        <w:br/>
        <w:t xml:space="preserve">Official actions based on § 32 b GWB are subject to fees according to § 80 Abs. 1 Satz 2 Nr. 2 GWB. The fee may not exceed 25,000 EUR here according to § 80 Abs. 2 Satz 2 Nr. 2 GWB. If the personnel or material effort is particularly high, taking into account the economic significance, this fee may be increased up to double (§ 80 Abs. 2 Satz 3 GWB).  </w:t>
        <w:br/>
        <w:t xml:space="preserve">The amount of the fees is determined by the personnel and material effort of the cartel authority, taking into account the economic significance of the subject of the fee-liable action (§ 80 Abs. 2 Satz 1 GWB). Among the mentioned determining characteristics, the economic significance carries the greatest weight. If the economic significance determined according to these characteristics corresponds to the average, a medium fee is generally appropriate. This currently amounts to 12,500 EUR according to the applicable fee framework. From this average, adjustments may be made, depending on the respective economic significance and the workload, the amount of which is at the discretion of the cartel authority (cf. OLG Düsseldorf WuW 2000, 894 "Tequila", KG WuW/E OLG 5259 "Kleinhammer", KG WuW/E OLG 5287 "Finanzbeteiligung Gebühr"). In assessing the economic significance, the competition restriction and its intensity, as well as the market significance of the parties involved in the proceedings, must be taken into account.  </w:t>
        <w:br/>
        <w:t xml:space="preserve">In the present case, the economic significance is clearly above average. The decision eliminates the closure of the refilling market and therefore, according to preliminary assessment, serious competition restrictions. Additionally, it was taken into account in the fee assessment that the party involved has a very high market share and therefore a very high market significance.  </w:t>
        <w:br/>
        <w:t xml:space="preserve">The personnel and material effort was already considerable due to the search that took place. An above-average workload is to be assumed when, as in the present case, there is extensive correspondence during the proceedings and numerous meetings are required to achieve a legal clarification regarding antitrust law. In particular, extensive discussions and telephone appointments had to be held with the legal representatives of the parties involved. Furthermore, special effort was incurred due to the examination of the repeatedly amended proposals for commitments.  </w:t>
        <w:br/>
        <w:t xml:space="preserve">In determining the fees against the party involved, it was taken into account that an administrative fine was also imposed in the proceedings. The administrative effort caused by the party involved was, in total, above average.  </w:t>
        <w:br/>
        <w:t>Overall, therefore, the fee for the official action based on § 32 b GWB amounts to</w:t>
      </w:r>
    </w:p>
    <w:p>
      <w:r>
        <w:rPr>
          <w:b/>
        </w:rPr>
        <w:t>[Pages 16–17]</w:t>
      </w:r>
    </w:p>
    <w:p>
      <w:r>
        <w:t>- 16 -</w:t>
        <w:br/>
        <w:t xml:space="preserve">[ ] reasonable and justified. The cost debtor is according to § 80 Abs. 6 Sentence 1 No. 2 GWB the party involved.  </w:t>
        <w:br/>
        <w:t xml:space="preserve">The fees of [ ] are to be transferred within one month after the delivery of this decision to the account of the  </w:t>
        <w:br/>
        <w:t xml:space="preserve">Federal Treasury Trier  </w:t>
        <w:br/>
        <w:t xml:space="preserve">Deutsche Bundesbank, Branch Saarbrücken  </w:t>
        <w:br/>
        <w:t xml:space="preserve">IBAN: DE81 5900 0000 0059 0010 20  </w:t>
        <w:br/>
        <w:t xml:space="preserve">BIC: MARKDEF 1590.  </w:t>
        <w:br/>
        <w:t xml:space="preserve">Please ensure to indicate the  </w:t>
        <w:br/>
        <w:t xml:space="preserve">reference number 810600307351  </w:t>
        <w:br/>
        <w:t xml:space="preserve">and the date of the decision as the purpose of use.  </w:t>
        <w:br/>
        <w:t xml:space="preserve">If no or incomplete payment is made by the end of one month after the day of delivery, default surcharges of one percent of the outstanding amount may be charged for each commenced month of default (§ 80 Abs. 8 GWB, § 1 Abs. 2 KartKostVO in conjunction with § 18 Abs. 1 VwKostG).  </w:t>
        <w:br/>
        <w:t xml:space="preserve">For transfers from abroad, bank fees generally apply. In these cases, it must be ensured that the full fee is credited to the account of the Federal Cartel Office.  </w:t>
        <w:br/>
        <w:t xml:space="preserve">Legal Remedy Information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substantiating the appeal is two months. It begins with the delivery of the contested decision and may be extended upon request by the presiding judge of the appellate court. The appeal must contain a statement indicating to what extent the decision is being contested and the request for its amendment or annulment, as well as the facts and evidence, including any new ones, on which the appeal is based. The appeal and its substantiation must be signed by a lawyer. The appeal does not have suspensive effect. Upon request, the appellate court may order the suspensive effect of the appeal in whole or in part.  </w:t>
        <w:br/>
        <w:t xml:space="preserve">Temme Töllner Zerwas  </w:t>
        <w:br/>
        <w:t>You are hereby informed that this decision will be published - in full text - on the internet. You are therefore requested to notify the decision division in writing within 7 days after the delivery of this decision, if applicable, that the decision contains further trade secrets that need to be redacted prior to publication - beyond those already identifiable as such in the proceedings. Please justify by registered letter or by fax why the deletions you request are trade secrets. If the responsible decision division does not receive any notification from you within 7 days, the Federal Cartel Office will assume that this decision does not contain any further trade secrets and will publish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