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https://www.bundeskartellamt.de/SharedDocs/Entscheidung/DE/Fallberichte/Kartellverbot/2012/B3-19-08.pdf?__blob=publicationFile&amp;v=6</w:t>
      </w:r>
    </w:p>
    <w:p>
      <w:r>
        <w:t>Pages translated : 2</w:t>
      </w:r>
    </w:p>
    <w:p/>
    <w:p>
      <w:r>
        <w:rPr>
          <w:b/>
        </w:rPr>
        <w:t>[Pages 1–2]</w:t>
      </w:r>
    </w:p>
    <w:p>
      <w:r>
        <w:t xml:space="preserve">Case Report December 3, 2012  </w:t>
        <w:br/>
        <w:t xml:space="preserve">Prohibition of the Joint Venture CVH Chemie-Vertrieb  </w:t>
        <w:br/>
        <w:t xml:space="preserve">Industry: Chemical Trade  </w:t>
        <w:br/>
        <w:t xml:space="preserve">File Number: B 3 – 19/08  </w:t>
        <w:br/>
        <w:t xml:space="preserve">Date of Decision: November 12, 2012  </w:t>
        <w:br/>
        <w:t xml:space="preserve">The Federal Cartel Office has prohibited the further execution of the partnership agreement of CVH Chemie-Vertrieb GmbH &amp; Co. KG (CVH), Hanover, which is jointly controlled by the companies Brenntag Germany Holding GmbH (Brenntag), Mülheim a. d. Ruhr, and CG Chemikalien GmbH &amp; Co. Holding KG (CG), Laatzen. The joint venture CVH impermissibly enables the coordination of market activities of the three involved companies and therefore violates German and European antitrust law1.  </w:t>
        <w:br/>
        <w:t xml:space="preserve">CVH, Brenntag, and CG are chemical traders conducting business with basic and specialty chemicals through several warehouses; in addition, they are also active in the large-volume trading business with basic chemicals. The joint venture and its parent companies operate in the same relevant product and geographic markets and achieve joint market shares in the regional markets for the trading business with basic chemicals, the warehousing business with basic chemicals, and the specialty business, which range from approximately 25% to nearly 70% in the affected individual markets. Even assuming a national market for a comprehensive market encompassing the chemical trade with basic and specialty chemicals, the involved companies achieve a joint market share of 30 to 40%.  </w:t>
        <w:br/>
        <w:t xml:space="preserve">According to the case law of the Federal Court of Justice (BGH, decision of March 4, 2008, KVZ 55/07 - Nord-KS2), a competition-restricting violation of antitrust law is regularly to be expected when at least two shareholders and the joint venture operate in the same relevant product and geographic market. This is to be assessed in each individual case based on a comprehensive consideration of the economic interrelations and impacts.  </w:t>
        <w:br/>
        <w:t xml:space="preserve">This comprehensive consideration leads to the expectation of a behavioral coordination between the parent companies Brenntag and CG in the present case, as it is economically expedient and commercially reasonable. Neither for the parent companies nor for the joint venture are active competitive actions to the detriment of the other parties involved in the joint venture sensible. This results from the fundamental economic interests of the involved companies and from the partnership agreement provisions, which obligate the parent companies, among other things, to consider each other and grant them extensive rights to information and participation.  </w:t>
        <w:br/>
        <w:t xml:space="preserve">The violation associated with the execution of the partnership agreement of CVH Chemie against § 1 GWB and Art. 101 TFEU also does not meet the exemption requirements of § 2 GWB and Art. 101 Abs. 3 TFEU.  </w:t>
        <w:br/>
        <w:t xml:space="preserve">The proceedings were initiated in 2008 after extensive interconnections between twelve chemical trading companies became known in the context of an antitrust administrative offense procedure. The administrative offense procedure was concluded in November 2010 with fines. Involved in the cartel were, among others, Brenntag, CG, and CVH (cf. press release of December 7, 2010).  </w:t>
        <w:br/>
        <w:t xml:space="preserve">The now occurring prohibition of the further execution of the partnership agreement of CVH continues the practice pursued by the Federal Cartel Office of critically reviewing joint ventures of competing companies. The companies have been given a reasonable period to align their activities in the chemical trading markets in compliance with the law.  </w:t>
        <w:br/>
        <w:t xml:space="preserve">The decision is not yet legally binding.  </w:t>
        <w:br/>
        <w:t>The decision will soon be published on the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