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http://www.bundeskartellamt.de/SharedDocs/Entscheidung/DE/Entscheidungen/Fusionskontrolle/2016/B3-191-15.pdf;jsessionid=4919A25745B23D40A4702DBCC605C4C1.1_cid371?__blob=publicationFile&amp;v=2</w:t>
      </w:r>
    </w:p>
    <w:p>
      <w:r>
        <w:t>Pages translated : 31</w:t>
      </w:r>
    </w:p>
    <w:p/>
    <w:p>
      <w:r>
        <w:rPr>
          <w:b/>
        </w:rPr>
        <w:t>[Pages 1–3]</w:t>
      </w:r>
    </w:p>
    <w:p>
      <w:r>
        <w:t xml:space="preserve">3. Decision Division  </w:t>
        <w:br/>
        <w:t xml:space="preserve">B 3 – 191/15  </w:t>
        <w:br/>
        <w:t xml:space="preserve">MERGER CONTROL PROCEDURE  </w:t>
        <w:br/>
        <w:t xml:space="preserve">ORDER PURSUANT TO § 40 PARA. 2 GWB  </w:t>
        <w:br/>
        <w:t xml:space="preserve">– Public Version –  </w:t>
        <w:br/>
        <w:t xml:space="preserve">Decision  </w:t>
        <w:br/>
        <w:t xml:space="preserve">In the administrative procedure  </w:t>
        <w:br/>
        <w:t xml:space="preserve">1. Blood Donation Service of the Bavarian Red Cross Non-Profit GmbH  </w:t>
        <w:br/>
        <w:t xml:space="preserve">Herzog-Heinrich-Str. 2-4  </w:t>
        <w:br/>
        <w:t xml:space="preserve">80336 Munich  </w:t>
        <w:br/>
        <w:t xml:space="preserve">– Party 1 –  </w:t>
        <w:br/>
        <w:t xml:space="preserve">Representatives for proceedings and service:  </w:t>
        <w:br/>
        <w:t xml:space="preserve">Bird &amp; Bird LLP  </w:t>
        <w:br/>
        <w:t xml:space="preserve">Attorney Dr. Jörg Witting  </w:t>
        <w:br/>
        <w:t xml:space="preserve">Attorney Dr. Martin Jäger  </w:t>
        <w:br/>
        <w:t xml:space="preserve">Carl-Theodor-Str. 6  </w:t>
        <w:br/>
        <w:t xml:space="preserve">40213 Düsseldorf  </w:t>
        <w:br/>
        <w:t xml:space="preserve">2. Municipal Hospital Munich GmbH  </w:t>
        <w:br/>
        <w:t xml:space="preserve">Dachauer Str. 90  </w:t>
        <w:br/>
        <w:t xml:space="preserve">80335 Munich  </w:t>
        <w:br/>
        <w:t xml:space="preserve">– Party 2 –  </w:t>
        <w:br/>
        <w:t xml:space="preserve">Representative for service:  </w:t>
        <w:br/>
        <w:t xml:space="preserve">Attorneys of the partnership  </w:t>
        <w:br/>
        <w:t xml:space="preserve">Watson Farley &amp; Williams LLP  </w:t>
        <w:br/>
        <w:t xml:space="preserve">Gewürzmühlstr. 11  </w:t>
        <w:br/>
        <w:t>89538 Munich</w:t>
      </w:r>
    </w:p>
    <w:p>
      <w:r>
        <w:t xml:space="preserve">2  </w:t>
        <w:br/>
        <w:t xml:space="preserve">for the examination of a merger project pursuant to § 36 para. 1 of the Act against Restraints of Competition1 (GWB), the 3rd Decision Division of the Federal Cartel Office decided on March 24, 2016:  </w:t>
        <w:br/>
        <w:t xml:space="preserve">I. The project notified by letter dated November 27, 2015, by the Blood Donation Service of the Bavarian Red Cross Non-Profit GmbH to acquire 100% of the assets of the Blood Donation Service of the Municipal Hospital Munich GmbH through a public tender procedure is approved.  </w:t>
        <w:br/>
        <w:t xml:space="preserve">II. The fee for this decision is set at  </w:t>
        <w:br/>
        <w:t xml:space="preserve">€ […]  </w:t>
        <w:br/>
        <w:t xml:space="preserve">(in words: […] Euro)  </w:t>
        <w:br/>
        <w:t xml:space="preserve">and imposed on Party 1. The separately determined fee for the notification in the amount of […] Euro will be credited.  </w:t>
        <w:br/>
        <w:t>1 Act against Restraints of Competition as published on June 26, 2013 (BGBl. I p. 1750).</w:t>
      </w:r>
    </w:p>
    <w:p>
      <w:r>
        <w:t xml:space="preserve">3  </w:t>
        <w:br/>
        <w:t xml:space="preserve">Reasons  </w:t>
        <w:br/>
        <w:t xml:space="preserve">A. Summary  </w:t>
        <w:br/>
        <w:t xml:space="preserve">(1) The notified project concerns the acquisition of the last municipal blood donation service based in Bavaria, namely that of the Municipal Hospital Munich GmbH (hereinafter: StKM) by the Blood Donation Service of the Bavarian Red Cross (hereinafter: BSD-BRK). After the merger, apart from the BSD-BRK, only the Institute for Transfusion Medicine Suhl gGmbH based in Suhl, Thuringia (hereinafter: ITM Suhl) would be active in the Bavarian market with relevant revenues.  </w:t>
        <w:br/>
        <w:t xml:space="preserve">(2) At the time of the merger notification on November 27, 2015, the Blood Donation Service of the StKM (hereinafter BSD-StKM) generated revenues not only from supplying the StKM but also from external hospitals in the Munich metropolitan area and the adjacent southern regions. These amounted to approximately €5-10 million in the year prior to the notification, i.e., 2014. For the year 2015, the notifiers estimated the external revenues at €5-10 million.  </w:t>
        <w:br/>
        <w:t xml:space="preserve">(3) It was stated in the notification that the blood donation service of the Municipal Hospital Munich, which is to be sold, is about to be closed, which is why only assets and some ongoing customer contracts are to be sold to the BSD-BRK, and some employees are to be transferred in accordance with § 613a BGB. This acquisition of assets was linked by the parties involved in the merger to the contract for the future supply of blood products to the StKM and was publicly tendered throughout the EU. The contract was awarded to the BSD-BRK, so that it is to take over not only the production facilities, customer contracts, and employees but also the supply of blood products to the StKM for 4 years. After the merger, the BSD-BRK would have a market share of 80-90%. The remaining 10-20% would be held by the competitor ITM Suhl. All other providers individually achieve less than 1% market share and together significantly less than 5%.  </w:t>
        <w:br/>
        <w:t>(4) The Decision Division intended to prohibit the project and communicated the underlying reasons to the parties involved by letter dated March 12, 2016. In response to this, the representatives for the proceedings informed the Decision Division by letter dated March 18, 2016, that the revenues in 2015 with external customers – contrary to the original estimate – had actually fallen to significantly below €5 million. The Decision Division determined less than ten</w:t>
      </w:r>
    </w:p>
    <w:p>
      <w:r>
        <w:rPr>
          <w:b/>
        </w:rPr>
        <w:t>[Pages 4–6]</w:t>
      </w:r>
    </w:p>
    <w:p>
      <w:r>
        <w:t xml:space="preserve">4  </w:t>
        <w:br/>
        <w:t xml:space="preserve">still existing customer contracts of the BSD-StKM, which are primarily to be transferred to the BSD-BRK; furthermore, at this time, only fewer than 15 employees are to be transferred to the BSD-BRK in accordance with § 613a BGB. In light of this development, at the time of the decision, neither the second domestic turnover threshold of § 35 para. 1 no. 2 of the Act Against Restraints of Competition (GWB) nor the merger criterion of asset acquisition according to § 37 para. 1 no. 1 GWB nor that of control acquisition according to § 37 para. 1 no. 2 sentence 2 lit. a GWB can be considered fulfilled. The project is therefore no longer subject to merger control. However, since it was registered as a precaution, the registration was not withdrawn, and the decision division has entered into the main examination procedure, the project is to be approved by decision.  </w:t>
        <w:br/>
        <w:t xml:space="preserve">B. Facts  </w:t>
        <w:br/>
        <w:t xml:space="preserve">I. The Project  </w:t>
        <w:br/>
        <w:t xml:space="preserve">(5) The BSD-BRK has registered its intention to acquire assets of the BSD-StKM through a public tender procedure in the negotiation process.  </w:t>
        <w:br/>
        <w:t xml:space="preserve">(6) The seller is the StKM. It operates five clinics of the highest care level in Munich with a total of approximately 3,300 beds, 260 day clinic places, and about 8,000 employees. The sole shareholder of the seller is the City of Munich. The BSD-StKM is a delineable pharmaceutical operating unit within the seller. The buildings in which the BSD-StKM is located are leased from the City of Munich. The lease ends on June 30, 2016. The property is to be demolished thereafter. According to the registration, the assets to be acquired included items of fixed and current assets (assets and liabilities), contractual relationships with customers (provided they agree), as well as the takeover of the currently employed workers, subject to their consent in accordance with § 613a BGB.  </w:t>
        <w:br/>
        <w:t>(7) The public tender included the assets of the operation and, inseparably linked to them, also the supply of the seller with blood products for a period of up to four years without an extension option. In the context of the public tender procedure conducted for this purpose, the parties agreed on the conditions of the intended acquisition in the negotiation process on December 18, 2015, and specified the object of acquisition.</w:t>
      </w:r>
    </w:p>
    <w:p>
      <w:r>
        <w:t xml:space="preserve">5  </w:t>
        <w:br/>
        <w:t xml:space="preserve">II. The Parties  </w:t>
        <w:br/>
        <w:t xml:space="preserve">1. BSD-BRK  </w:t>
        <w:br/>
        <w:t xml:space="preserve">(8) The core activity of the BSD-BRK is the collection, processing, testing, and distribution of blood and plasma for clinical use and industrial processing. Annually, over 450,000 blood donations are collected at stationary collection appointments and at approximately 4,600 mobile blood donation appointments conducted throughout Bavaria each year. After processing the whole blood units at the central production facility near Würzburg, the blood products are sold to hospitals and private practitioners. From the whole blood donations, the blood products erythrocyte concentrate (EC), platelet concentrate (PC), and blood plasma for clinical use, as well as blood plasma for industrial processing (fractionation), known as industrial plasma, are produced. In the case of plasma surpluses that are not used for transfusion, the BSD-BRK supplies this industrial plasma for fractionation to the plasma fractionating industry for the production of medications, e.g., coagulation factors, sera.  </w:t>
        <w:br/>
        <w:t xml:space="preserve">(9) In addition, the BSD-BRK maintains a department for the collection (pheresis) of peripheral blood stem cells. To a limited extent, the BSD-BRK is also active in the field of laboratory services for clinics and plasma centers and in other industrial business.  </w:t>
        <w:br/>
        <w:t xml:space="preserve">(10) With its products and services, the BSD-BRK generated total revenues of between 70 and 80 million euros in 2014, of which 60-70 million euros were from domestic sales. Additionally, 0-10 million euros were generated in the European Union (excluding Germany). These are non-consolidated revenues. According to the registering company BSD-BRK, there are no significant internal revenues. The revenues for the year 2015 are expected to be between 60 and 70 million euros. For 2015, the BSD-BRK cannot provide information on internal revenues.  </w:t>
        <w:br/>
        <w:t xml:space="preserve">(11) The shares in the BSD-BRK are 100% held by the Bavarian Red Cross - a public law corporation, Munich (BRK). The BRK is one of 19 state associations of the German Red Cross e.V. (DRK). For historical reasons, the BRK is not constituted as a registered association, but according to Article 1 of the Law on the Legal Status of the Bavarian Red Cross (BRK Law) of July 16, 1986, as a public law corporation (KöR). The BRK organizes and manages its affairs in accordance with the laws itself, as stated in Article 1 sentence 2 of the BRK Law. The responsible legal supervisory authority is, according to Article 3 of the BRK Law, the Bavarian State Ministry of the Interior, for Construction and Transport. According to Article 4 of the BRK Law, the tasks in detail, as well as membership, structure, organs, and association economy, are regulated by statute. The currently valid statute of the Bavarian Red Cross dates from July 21, 2001, last amended on December 7, 2013.  </w:t>
        <w:br/>
        <w:t xml:space="preserve">(12) The public law corporation BRK, according to § 1 para. 1 of the BRK statutes, consists of all its divisions and their members in the territory of the Free State of Bavaria. The BRK fulfills the tasks listed in § 2 of the BRK statutes, which also include the blood donation service, § 2 para. 1 no. 3 i) of the BRK statutes. The BRK is divided into district associations and county associations according to § 3 para. 3 of the BRK statutes. In areas where no explicit jurisdiction is given, divisions at a higher level only act according to the principle of subsidiarity if and to the extent that the objectives of the intended measures cannot be sufficiently achieved at the lower level (§ 3 para. 4 of the BRK statutes).  </w:t>
        <w:br/>
        <w:t>(13) According to § 4 para. 1 of the BRK statutes, the presidium represents the BRK in accordance with § 26 BGB. In addition, the BRK is legally represented according to § 30 BGB by the chairman and the managing director of a county association jointly or by the chairman and the managing director of a district association jointly, each limited to their local and subject matter jurisdiction, § 4 para. 2 of the BRK statutes. According to § 4 para. 3 of the BRK statutes, the state managing directors (§ 22), district managing directors (§ 43), and county managing directors (§ 32) are authorized to act alone in the name of the BRK within the framework of their statutory tasks.</w:t>
      </w:r>
    </w:p>
    <w:p>
      <w:r>
        <w:rPr>
          <w:b/>
        </w:rPr>
        <w:t>[Pages 7–9]</w:t>
      </w:r>
    </w:p>
    <w:p>
      <w:r>
        <w:t xml:space="preserve">7  </w:t>
        <w:br/>
        <w:t xml:space="preserve">(14) The organs of the corporation are, according to § 12 of the BRK statutes, the state assembly, the state board, and the presidium.  </w:t>
        <w:br/>
        <w:t xml:space="preserve">(15) In addition to the BSD-BRK, the BRK holds 100% of the shares in two other subsidiaries:  </w:t>
        <w:br/>
        <w:t xml:space="preserve">- the Social Service Company of the Bavarian Red Cross GmbH, Munich (SSG), which operates 26 nursing and care homes in Bavaria, and  </w:t>
        <w:br/>
        <w:t xml:space="preserve">- the Trade and Service Company of the Bavarian Red Cross mbH, Hettenshausen (H+DG), which is a specialized provider of work and service clothing, equipment, pharmaceuticals, and supplementary services for the DRK and other organizations. H+DG is recognized as the central procurement office for the pharmaceutical supply of the emergency services of the BRK and DRK.  </w:t>
        <w:br/>
        <w:t>(16) According to § 47 para. 1 of the BRK statutes, the entire assets of the Bavarian Red Cross constitute corporate assets and form a legal entity. Excluded from this are the assets of the sister organizations and their association (§ 47 para. 1 sentence 2 of the BRK statutes).</w:t>
      </w:r>
    </w:p>
    <w:p>
      <w:r>
        <w:t xml:space="preserve">8  </w:t>
        <w:br/>
        <w:t xml:space="preserve">(17) In 2014, the BRK generated a revenue within the meaning of § 38 para. 1 sentence 2 GWB of just over 1 billion euros, which is composed as follows:  </w:t>
        <w:br/>
        <w:t xml:space="preserve">Company Revenue 2014 in million euros  </w:t>
        <w:br/>
        <w:t xml:space="preserve">(without internal revenues)  </w:t>
        <w:br/>
        <w:t xml:space="preserve">State Office of the BRK 20-30  </w:t>
        <w:br/>
        <w:t xml:space="preserve">BSD-BRK 70-80  </w:t>
        <w:br/>
        <w:t xml:space="preserve">SSG 110-120  </w:t>
        <w:br/>
        <w:t xml:space="preserve">H+DG 0-10  </w:t>
        <w:br/>
        <w:t xml:space="preserve">Subtotal 200-240  </w:t>
        <w:br/>
        <w:t xml:space="preserve">District and County Associations 850-950  </w:t>
        <w:br/>
        <w:t xml:space="preserve">Total &gt; 1,000  </w:t>
        <w:br/>
        <w:t xml:space="preserve">(18) Of this, less than 10 million euros were generated from sales of industrial plasma to EU foreign countries.  </w:t>
        <w:br/>
        <w:t xml:space="preserve">(19) The BRK does not consolidate its revenues; rather, the district and county associations prepare individual annual financial statements on their own responsibility, which are then consolidated by the BRK into a corporate financial statement. Therefore, the revenue figures for both the BRK as a whole and the county associations generally include internal corporate revenues, e.g., revenues among the county associations. The above figures are therefore adjusted total revenues of the companies or regional associations, which have been significantly cleaned of internal revenues. The registering company was unable to make this adjustment for the year 2015, so the following projected, non-consolidated revenues for the year 2015 are presented8:  </w:t>
        <w:br/>
        <w:t>8 Letter from attorneys Dr. Witting and Dr. Jäger dated February 1, 2016</w:t>
      </w:r>
    </w:p>
    <w:p>
      <w:r>
        <w:t xml:space="preserve">9  </w:t>
        <w:br/>
        <w:t xml:space="preserve">Company projected non-consolidated revenue 2015  </w:t>
        <w:br/>
        <w:t xml:space="preserve">in million euros  </w:t>
        <w:br/>
        <w:t xml:space="preserve">State Office of the BRK 30-40  </w:t>
        <w:br/>
        <w:t xml:space="preserve">BSD-BRK 60-70  </w:t>
        <w:br/>
        <w:t xml:space="preserve">SSG 120-130  </w:t>
        <w:br/>
        <w:t xml:space="preserve">H+DG 10-20  </w:t>
        <w:br/>
        <w:t xml:space="preserve">Subtotal 220-260  </w:t>
        <w:br/>
        <w:t xml:space="preserve">County Associations (not available)  </w:t>
        <w:br/>
        <w:t>Total ./.</w:t>
      </w:r>
    </w:p>
    <w:p>
      <w:r>
        <w:t xml:space="preserve">2. The business unit to be acquired: BSD-StKM  </w:t>
        <w:br/>
        <w:t xml:space="preserve">(20) The BSD-StKM is a delineable pharmaceutical business unit within the StKM. Its business activity consists of the collection of whole blood and apheresis donations as well as their processing into blood products for the internal use of the seller (self-supply) and the sale of blood products to external customers.  </w:t>
        <w:br/>
        <w:t xml:space="preserve">(21) At the time of registration, the operational activity of the BSD-StKM was as follows:  </w:t>
        <w:br/>
        <w:t>(22) The BSD-StKM collected whole blood and apheresis donations; this occurred both stationary in the buildings of the StKM and in over 300 mobile collection appointments per year in the districts of Rosenheim, Starnberg, Dachau, Miesbach, Fürstenfeldbruck, Freising, Ebersberg, Pfaffenhofen/Ilm, Erding, and the district and city area of Munich. Overall, the BSD-StKM annually collected approximately over 60,000 whole blood donations and under 10,000 apheresis donations.</w:t>
      </w:r>
    </w:p>
    <w:p>
      <w:r>
        <w:rPr>
          <w:b/>
        </w:rPr>
        <w:t>[Pages 10–12]</w:t>
      </w:r>
    </w:p>
    <w:p>
      <w:r>
        <w:t xml:space="preserve">10  </w:t>
        <w:br/>
        <w:t xml:space="preserve">whole blood donations and produced blood products from them. The staff count was approximately 117 employees, corresponding to 84 full-time equivalents.  </w:t>
        <w:br/>
        <w:t xml:space="preserve">(23) In 2014, the BSD-StKM supplied over 40 customers with blood products. The blood products sold by the BSD-StKM to external customers included ECs, TKs produced by apheresis, plasma for clinical use, and industrial plasma. The BSD-StKM only possessed the necessary approval for the production of TKs via apheresis, but not for the production of TKs using the so-called pool method. To obtain approval for the production of TKs using the pool method, a processing time of 2-3 years at the Paul-Ehrlich-Institut must be anticipated.  </w:t>
        <w:br/>
        <w:t xml:space="preserve">(24) In the area of plasma, the BSD-StKM only sold surplus products of plasma for clinical use to the industry for fractionation. Laboratory services were provided by the BSD-StKM only to the extent that they were related to the sale of blood products (cross-laboratory).  </w:t>
        <w:br/>
        <w:t xml:space="preserve">(25) Revenues from external customers amounted to approximately 0-10 million euros in 2014. They were generated exclusively in Germany. Regarding the blood products produced for internal use in 2014, a value of less than 5 million euros was stated in the application. For 2015, the seller estimated in the application a total revenue of approximately 0-10 million euros for the BSD-StKM, of which over 5 million euros would be generated with external customers.  </w:t>
        <w:br/>
        <w:t xml:space="preserve">(26) The situation has now changed: Between the application at the end of November 2015 and the decision on March 24, 2016, the BSD-StKM has eroded progressively. Of the originally 117 employees, currently significantly fewer than 100 are employed at the BSD-StKM. Of these, fewer than 15 did not object to the transfer of operations under § 613a BGB and therefore will transfer to the BSD-BRK. This movement of departure was also noticeable among the customers: Of the originally over 40 hospitals, currently fewer than ten hospitals still have a supply contract with the BSD-StKM. According to the parties' communication on March 18, 2016, the revenue in 2015 with external customers was significantly less than 5 million euros. Upon execution of the project, only any remaining customer contracts are to be transferred to the BSD-BRK, and only if the respective customer agrees to the transfer to the BSD-BRK. Furthermore, the fixed assets have continued to lose value due to ongoing depreciation and will only transfer to the extent that they are taken over by the acquirer after an operational inspection. Moreover, they will only transfer to the extent that they are not permanently installed in the operational building. Finally, the current assets will not transfer completely, particularly not the inventories. Blood donor data will also not be transferred to the BSD-BRK.  </w:t>
        <w:br/>
        <w:t xml:space="preserve">(27) With this remaining operational assets and personnel, according to the parties' presentation on March 18, 2016, it is currently not even possible to generate the internal demand. Three smaller customers had their supply contracts properly terminated during the year 2015. The emergency service on weekends and the mobile collection appointments in the vicinity had to be significantly restricted or partially canceled due to lack of personnel. In February 2016, the parties requested the decision division to be allowed to terminate further customer contracts in agreement with the BSD-BRK in order to ensure internal supply, as their servicing could no longer be guaranteed. Since the decision division saw this as an early execution, consent was refused. Instead, the BSD-StKM obtains the necessary quantities from the BSD-BRK and sells them in its own name and on its own account at the price originally agreed with the customer.  </w:t>
        <w:br/>
        <w:t xml:space="preserve">III. Procedure  </w:t>
        <w:br/>
        <w:t xml:space="preserve">(28) The parties informed the decision division by letter dated August 10, 2015, about the merger project and requested a preliminary examination of the notification obligation regarding the revenue thresholds and revenue allocation within the BRK. A meeting was held with the BSD-BRK for this purpose; in addition, two expert opinions were submitted by the BSD-BRK.  </w:t>
        <w:br/>
        <w:t xml:space="preserve">(29) The parties provisionally notified the merger project by letter dated November 27, 2015.  </w:t>
        <w:br/>
        <w:t xml:space="preserve">(30) The decision division conducted a full survey of all hospitals in Bavaria and in a strip of approximately 50 km along the state border as well as the South Palatinate region and, for this purpose, sent a total of 547 information orders requesting data.  </w:t>
        <w:br/>
        <w:t xml:space="preserve">(31) By letter dated December 22, 2015, received by the parties involved in the merger on the same day, the decision division informed the parties involved in the merger that it was initiating the main examination procedure.  </w:t>
        <w:br/>
        <w:t xml:space="preserve">(32) Similarly, the decision division sent an information order, also requesting data, to 85 blood donation services throughout Germany, including all blood donation services of the German Red Cross (hereinafter: DRK).  </w:t>
        <w:br/>
        <w:t xml:space="preserve">(33) The decision division sent an information order and several requests for information to both the BSD-BRK and the StKM.  </w:t>
        <w:br/>
        <w:t xml:space="preserve">(34) Another request for information was sent to over 40 (former) customers of the BSD-StKM.  </w:t>
        <w:br/>
        <w:t xml:space="preserve">(35) A meeting was held with representatives of the acquirer and a meeting with both parties involved in the merger took place. In addition, over 20 recorded phone calls were conducted for investigative purposes.  </w:t>
        <w:br/>
        <w:t xml:space="preserve">(36) By letter dated March 12, 2016, the decision division communicated the essential reasons for its intended decision to the parties involved in the merger. The BSD-BRK responded to this letter with a letter dated March 16, 2016 (Statement Part I) and March 18, 2016 (Statement Part II).  </w:t>
        <w:br/>
        <w:t xml:space="preserve">(37) Since a change in the legal assessment regarding the formal prohibition requirements arose from these statements, the parties 1 and 2 were informed about this.  </w:t>
        <w:br/>
        <w:t xml:space="preserve">C. Formal Examination  </w:t>
        <w:br/>
        <w:t xml:space="preserve">I. Notification and Control Obligation  </w:t>
        <w:br/>
        <w:t xml:space="preserve">(38) The merger project is subject to notification under § 35 para. 1 GWB if the participating companies achieved worldwide revenues of over 500 million euros in the year prior to the execution of the merger, i.e., in 2015, according to § 35 para. 1 no. 1 GWB, and the revenue thresholds according to § 35 para. 1 no. 2 GWB are met.  </w:t>
        <w:br/>
        <w:t>(39) The threshold value of § 35 para. 1 no. 1 GWB is not reached by the revenues of the BSD-BRK and the BSD-StKM alone. However, the revenues of the BRK, including</w:t>
      </w:r>
    </w:p>
    <w:p>
      <w:r>
        <w:rPr>
          <w:b/>
        </w:rPr>
        <w:t>[Pages 13–15]</w:t>
      </w:r>
    </w:p>
    <w:p>
      <w:r>
        <w:t xml:space="preserve">13  </w:t>
        <w:br/>
        <w:t xml:space="preserve">the district and regional associations as well as those of the other subsidiaries of the BRK are to be attributed.  </w:t>
        <w:br/>
        <w:t xml:space="preserve">(40) The acquirer BSD-BRK is of the opinion that there is no obligation to notify the merger project under § 35 et seq. GWB because  </w:t>
        <w:br/>
        <w:t xml:space="preserve">1) the BSD-BRK is not a company and  </w:t>
        <w:br/>
        <w:t xml:space="preserve">2) the revenue thresholds of § 35 para. 1 GWB would not be reached because  </w:t>
        <w:br/>
        <w:t xml:space="preserve">a) the revenues of the district associations (KV) of the BRK are not to be attributed to the BRK according to the principles of the subordinate group and  </w:t>
        <w:br/>
        <w:t xml:space="preserve">b) the revenues of the other blood donation services of the German Red Cross are not to be attributed to each other according to the principles of the equal group.  </w:t>
        <w:br/>
        <w:t xml:space="preserve">(41) The decision division can only partially agree with this view after thorough examination. To the extent that it can align with the parties' opinion regarding the absence of an equal group of the blood donation services of the German Red Cross, this has no impact on the control obligation.  </w:t>
        <w:br/>
        <w:t xml:space="preserve">1. Company Status of the Parties Involved in the Merger  </w:t>
        <w:br/>
        <w:t xml:space="preserve">(42) A prerequisite for the application of the merger control provisions is that the parties directly involved are companies within the meaning of the GWB. This applies to both the BSD-StKM and the BSD-BRK, which is registered as a non-profit limited liability company (gGmbH) in the commercial register of Munich. Both offer blood products on the market - primarily to hospitals - for a fee. The indirect acquirer BRK also offers social services to private clients and is thus to be qualified as a company. The applicants particularly doubt the company status of the BRK as a public law corporation (KöR).  </w:t>
        <w:br/>
        <w:t xml:space="preserve">(43) According to § 130 para. 1 sentence 1 GWB, the provisions of merger control also apply to companies owned by the public sector, so that the legal form of KöR does not preclude the application of the GWB. Both BSD-BRK and the BRK are to be regarded as companies within the meaning of the GWB, as the so-called functional concept of a company is to be applied in the context of the GWB. According to this, the company status is established by any independent activity in commercial transactions aimed at an exchange of goods or commercial services, and is not limited to meeting private living needs. The purpose of the GWB, which is to ensure the freedom of competition, prohibits a narrow interpretation. A public law organizational form of the participant in commercial transactions is not sufficient to exempt it from the scope of the law. The intention to generate profit is also not relevant. Only specifically sovereign actions are not subject to German antitrust law.  </w:t>
        <w:br/>
        <w:t xml:space="preserve">(44) Based on the functional concept of a company, it is not possible to consistently answer whether a company exists within the meaning of the GWB. Rather, the company status must be examined on a case-by-case basis for the economic activity in question. According to the case law of the BGH, public law corporations can generally also be companies within the meaning of antitrust law, if and to the extent that they are economically active. An economic activity, according to the case law, consists of offering goods or services in a specific market. For the question of whether an activity has an economic character, it does not matter whether the executing entity has a private or public law status, nor the profitability of the activity.  </w:t>
        <w:br/>
        <w:t xml:space="preserve">(45) The direct acquirer offers the relevant blood products for a fee. The underlying legal relationships are based on private law contracts. The purchasers of the blood products are primarily hospitals, which acquire the blood products at a negotiated price or at a price offered in a tender. Thus, these are private law contracts. Consequently, the blood donation services of the German Red Cross and also of the BRK are in competition with private and municipal providers, such as Haema AG.  </w:t>
        <w:br/>
        <w:t xml:space="preserve">(46) Its 100% parent company, the BRK, provides social services. The provision of these social services, for which the BRK has concluded public law contracts, for example with municipal associations for the operation of an emergency service, is also to be classified as economic. Although the BRK fulfills a public task according to the political will of the Bavarian legislature, if an activity can be carried out by a private company, this is, according to the view of the ECJ, an additional indication that allows its classification as a company activity. Overall, health care, elderly care, emergency services, and social welfare are public tasks that can also be provided by private companies and are indeed provided. Hospitals and nursing homes are privately operated, or care services are offered by private companies. The tasks that the BRK has taken on can be performed by private companies and are also performed. Accordingly, the BRK is in competition with private companies in numerous areas, such as the operation of nursing homes, daycare centers, emergency services, and blood donation services.  </w:t>
        <w:br/>
        <w:t xml:space="preserve">(47) Ultimately, the functional company status of the BRK is not relevant, as the BRK is already considered a company under § 36 para. 3 GWB due to its 100% stake in the BSD-BRK.  </w:t>
        <w:br/>
        <w:t xml:space="preserve">2. Revenue Thresholds, § 35 para. 1 No. 1 GWB  </w:t>
        <w:br/>
        <w:t>(48) The revenue threshold of § 35 para. 1 No. 1 GWB is reached. All shares in the BSD-BRK are held by the BRK, whose revenues are attributed to the BSD-BRK in accordance with § 36 para. 2 GWB. However, the revenues of the BRK itself include not only the revenues of the state office amounting to approximately 20-30 million euros (2014), but also</w:t>
      </w:r>
    </w:p>
    <w:p>
      <w:r>
        <w:rPr>
          <w:b/>
        </w:rPr>
        <w:t>[Pages 16–18]</w:t>
      </w:r>
    </w:p>
    <w:p>
      <w:r>
        <w:t xml:space="preserve">16  </w:t>
        <w:br/>
        <w:t xml:space="preserve">the revenues of the district and regional associations amounting to approximately 850-950 million euros (2014), as the district and regional associations together with the BRK form a single enterprise.  </w:t>
        <w:br/>
        <w:t xml:space="preserve">(49) Furthermore, according to § 36 para. 2 GWB, the revenues of the other subsidiaries of the BRK, in which the BRK holds all shares, namely SSG and H+DG, are to be attributed to the BSD. With all attributions, the total revenue of the BRK exceeds 1 billion euros in 2015.  </w:t>
        <w:br/>
        <w:t xml:space="preserve">a) The BRK as a legal and factual entity in its entirety  </w:t>
        <w:br/>
        <w:t xml:space="preserve">(50) An enterprise in the sense of the GWB is, according to established case law, any unit engaging in economic activity, regardless of its legal form and the nature of its financing. The BRK operates as a provider in the markets for hospitals, nursing homes, and emergency services, thus qualifying as an enterprise in the sense of the GWB (see above). It is particularly an enterprise in the sense of the GWB with all its constituent bodies, as it constitutes a legal and factual entity in its entirety with shared resource utilization.  </w:t>
        <w:br/>
        <w:t xml:space="preserve">(51) According to § 3 of the BRK statutes, the BRK is a corporation under public law (KöR) and is divided into district associations and county associations according to § 3 para. 3 of the BRK statutes. These are therefore non-independent components of the BRK itself. According to the self-understanding laid down in § 1 para. 1 of the BRK statutes, the BRK is the entirety of its divisions and their members in the Free State of Bavaria. Accordingly, the entire assets of the Bavarian Red Cross are, in accordance with § 47 para. 1 of the BRK statutes, corporate assets and form a legal unit.  </w:t>
        <w:br/>
        <w:t xml:space="preserve">(52) Therefore, the revenues of the district and regional associations must be considered as original revenue of the BRK, as the district and regional associations merely represent subdivisions of the entirety of the BRK without their own legal personality. In this respect, no independent attribution of these revenues according to § 36 para. 2 GWB is necessary, as they are already included in those of the BRK.  </w:t>
        <w:br/>
        <w:t xml:space="preserve">(53) The parties involved in the merger assume that for consideration, an attribution according to § 36 para. 2 GWB must be given, the prerequisites of which, however, are not met. The provisions of stock corporation law are not applicable to the corporation under public law. For an attribution, the necessary unified management and resource utilization for the application of § 36 para. 2 GWB would be required. This is doubted by the parties involved in the merger, as the decision-making within the BRK occurs from the bottom up, that is, from the county associations through the district associations up to the state association.  </w:t>
        <w:br/>
        <w:t xml:space="preserve">(54) However, the BRK statutes contain numerous provisions that are evidence that the BRK is a legal and factual entity in its entirety with shared resource utilization. It is particularly noteworthy that the subdivisions of the BRK can only act within the limits of their statutory powers and thus always only within the framework of the BRK statutes themselves.  </w:t>
        <w:br/>
        <w:t xml:space="preserve">aa) Legal unit: The lack of legal capacity of the district and county associations  </w:t>
        <w:br/>
        <w:t xml:space="preserve">(55) According to § 47 para. 1 of the BRK statutes, the entire assets of the Bavarian Red Cross are corporate assets and form a legal unit. The only exception is the assets of the sisterhoods and their association according to § 47 para. 1 sentence 2 of the BRK statutes. Conversely, this means that the district and county associations are non-independent parts of this asset.  </w:t>
        <w:br/>
        <w:t xml:space="preserve">(56) The district and county associations of the BRK do not possess legal personality and cannot act independently in economic matters. Consequently, they are neither registered in an association register nor in a commercial register. Such registration would be necessary for liability clarity if the managing director or board had power of attorney by virtue of their office. Instead, he represents the BRK in all business transactions. To the extent that the district managing directors and the chairpersons of the county associations can dispose of assets, it is a derived right, not the original right of the managing director.  </w:t>
        <w:br/>
        <w:t xml:space="preserve">(57) The structure of the district and regional associations as subdivisions of the BRK is ultimately illustrated by their dependency on the state assembly, an organ of the BRK: According to § 57 of the BRK statutes, district and regional associations can be divided or merged by resolution of the state assembly.  </w:t>
        <w:br/>
        <w:t xml:space="preserve">(58) This is also evident from the internet appearances of the Bavarian district associations. Responsible in the sense of § 5 TMG for the website of each Bavarian district association is the state managing director (currently Mr. Leonhard Stärk). The local district association is merely named as a local contact. Thus, the district and county associations lack any independent legal personality. They are rather legally dependent subunits of the BRK as a corporation under public law. This is also not disputed in form by the representatives of the BRK.  </w:t>
        <w:br/>
        <w:t xml:space="preserve">bb) Shared resource utilization  </w:t>
        <w:br/>
        <w:t xml:space="preserve">(59) The constituent bodies form a legal and factual unit with the BRK because they do not independently utilize financial resources but only according to the provisions of the BRK itself. The utilization of financial resources is established in communal rules, such as the financial management order, or is centrally approved by the presidium.  </w:t>
        <w:br/>
        <w:t>(60) Although, according to § 47 para. 2 of the BRK statutes, legal transactions concerning real estate and rights equivalent to real estate can be conducted not only by the state association but also by the district and county associations within their local and subject-specific areas of responsibility, it is crucial in this context that this is only effective for the BRK itself and requires approval by the presidium. The presidium can set a value limit below which the requirement for approval is waived. This value limit can be changed by the presidium at any time upwards or downwards. Finally, the district association is represented jointly, limited to their local and subject-specific areas of responsibility, according to § 4 para. 2 of the BRK statutes. According to § 4 para. 3 of the BRK statutes, the state managing directors (§ 22), district managing directors (§ 43), and county managing directors (§ 32) are authorized within the framework of their statutory tasks to act in the name of the BRK alone.</w:t>
      </w:r>
    </w:p>
    <w:p>
      <w:r>
        <w:rPr>
          <w:b/>
        </w:rPr>
        <w:t>[Pages 19–21]</w:t>
      </w:r>
    </w:p>
    <w:p>
      <w:r>
        <w:t xml:space="preserve">19  </w:t>
        <w:br/>
        <w:t xml:space="preserve">The presidium may, in accordance with § 47 para. 2 sentence 4 of the BRK statutes, set value limits up to which approval can be jointly granted by the state managing director and the state protection master.  </w:t>
        <w:br/>
        <w:t xml:space="preserve">(61) According to § 47 para. 3 of the BRK statutes, the district and state associations are authorized within their area of responsibility to dispose of and manage the remaining assets. However, the management must be carried out according to the principles of the financial management order, which is issued by an organ of the BRK, the state assembly. Furthermore, the financial management committee, which is appointed by the BRK organ state board in accordance with § 17 para. 3 of the BRK statutes, can make binding decisions for the implementation of the financial management order in accordance with § 47 para. 4 of the BRK statutes.  </w:t>
        <w:br/>
        <w:t xml:space="preserve">(62) The regulations in the BRK statutes and the financial management order show that the district and local associations cannot independently and autonomously dispose of the assets, but only in accordance with the provisions and criteria of the BRK itself.  </w:t>
        <w:br/>
        <w:t xml:space="preserve">(63) § 47 of the BRK statutes thus clarifies the resource utilization that exists only under the direction of the state association by the local and district associations and the lack of independence of these units within the BRK. This lack of independence of the subunits of the BRK in resource utilization also arises from the further provisions of the statutes regarding fund management and budget rights. For example, § 50 of the statutes establishes the fiscal year for the BRK as a whole. The determination of the budget of the district associations is part of the overall budget (conclusion from § 40 para. 1 of the BRK statutes). Although the local associations can independently use their funds in accordance with § 49 para. 1 of the BRK statutes within the framework of their budget plan, they must remit a portion of their revenues to the state office for the tasks of the district associations and the state office in accordance with § 49 para. 2 of the BRK statutes. This is decided by the state assembly, an organ of the BRK. The state board, another organ of the BRK, ultimately establishes the budget plan/economic plan, among others, for the district office, § 17 para. 2 no. 2b of the BRK statutes.  </w:t>
        <w:br/>
        <w:t xml:space="preserve">b) Alternatively: Attribution of the revenues of the BRK (including those of the local and district associations) and its subsidiaries in accordance with § 36 para. 2 GWB  </w:t>
        <w:br/>
        <w:t xml:space="preserve">(64) Even if one were to follow the argumentation of the parties involved in the merger, who see independent enterprises in the local and district associations, the revenues of the local and district associations would be attributed to the BRK in accordance with § 36 para. 2 sentence 1 GWB, as they form a subordinate group with the BRK, the parent company of the BSD-BRK involved in the merger. This is because competitive decisions should ultimately not depend on a corporate legal structure that is at the discretion of the companies. For the subsidiaries of the BRK, this is also undisputed from the perspective of the parties involved in the merger.  </w:t>
        <w:br/>
        <w:t xml:space="preserve">aa) Attribution of the revenues of the local and district associations  </w:t>
        <w:br/>
        <w:t xml:space="preserve">(65) The characteristic of dominant influence underlying § 17 of the AktG, which is not directly applicable to public law corporations, is not defined in detail in the law. According to the case law of the BGH, a general influence on business and personnel policy is sufficient.21  </w:t>
        <w:br/>
        <w:t xml:space="preserve">(1) The view of the parties involved in the merger  </w:t>
        <w:br/>
        <w:t xml:space="preserve">(66) The legal representatives of the BRK attribute an independence to the local associations, which, in their opinion, leads to the conclusion that they do not form a group or an independent part of a company. They are originally responsible for carrying out the operational tasks of the BRK in their respective area, which they generally handle themselves, § 24 para. 1 and 3 of the BRK statutes. In this context, the local associations act through their own voluntary board, § 25 para. 2 of the BRK statutes, as well as their own full-time management, § 31 of the BRK statutes, each of which also has corresponding representation authority within their sphere of influence. For this purpose, the local associations each establish their own rules of procedure, § 29 para. 1 of the BRK statutes. The board of the local association decides independently in accordance with § 29 para. 1 of the BRK statutes on the local strategy (annual planning), the preparation of financial, liquidity, and investment planning, the preparation of a budget or economic plan, the hiring and dismissal of the local managing director and his deputy, and the approval for the personnel of the second management level. Furthermore, according to the principle of subsidiarity, only what the higher level cannot or cannot do as effectively is taken over by the local level. Another indication is that only a small procurement volume is handled through the strategic purchasing of the state office.  </w:t>
        <w:br/>
        <w:t xml:space="preserve">21 BGH WuW/E BGH 2882, 2886 f. – Attribution clause, further OLG Düsseldorf, decision of May 7, 2008 – VI-Kart 1/07 (V), Kart 1/07 (V) –, juris Rn. 23.  </w:t>
        <w:br/>
        <w:t xml:space="preserve">(67) Furthermore, the representatives of the BRK see a hint of the independence of the local associations in the representation regulation: Each local association is represented externally by its chairman together with the respective managing director.  </w:t>
        <w:br/>
        <w:t xml:space="preserve">(2) Subordinate group by virtue of statutory design  </w:t>
        <w:br/>
        <w:t xml:space="preserve">(68) The arguments of the parties involved in the merger do not hold. The representation regulations of § 4 of the BRK statutes always concern the representation of the BRK as a whole and not that of a local association. The provisions regarding the local associations in §§ 23-32 of the BRK statutes do not contain a representation regulation for the local associations. This is necessarily excluded, as the local associations are not legal entities. Accordingly, § 4 para. 2 of the BRK statutes provides for the representation of the BRK – not of the local association – by the chairpersons of a local association together with the local managing director within the framework of their local and subject-specific responsibilities. Accordingly, the local managing director is authorized to act alone for the BRK within the scope of his statutory duties, § 4 para. 3 of the BRK statutes. Practice follows the guidelines, as official letters always use "Bavarian Red Cross, Local Association ….." as the addressee/sender.  </w:t>
        <w:br/>
        <w:t xml:space="preserve">(69) It is also necessarily excluded that organs or representatives of the state office represent the local associations: This is also based on the fact that the local associations do not possess legal personality and is not related to the independence of the local associations as presented by the representatives of the BRK.22  </w:t>
        <w:br/>
        <w:t xml:space="preserve">(70) The argumentation of the parties involved in the merger cannot be followed either, as the local and district associations are integrated into the organization of the BRK, whose organs restrict the powers of the district and local associations in various ways. Among the tasks of the district board according to § 40 para. 1 of the BRK statutes is, in particular, the fulfillment of the instructions of the state board.  </w:t>
        <w:br/>
        <w:t xml:space="preserve">(71) Finally, the budget of the district association is part of the overall budget, § 40 para. 1 sentence 3 of the BRK statutes. The state board ultimately establishes the budget plan/economic plan, among others, for the district office, § 17 para. 2 no. 2b of the BRK statutes. The spokesperson of the state managing directors has a right to issue instructions in case of significant deviations.  </w:t>
        <w:br/>
        <w:t>22 Thus, letter from the legal representatives Dr. Witting and Dr. Jäger dated October 5, 2015, p. 4.</w:t>
      </w:r>
    </w:p>
    <w:p>
      <w:r>
        <w:rPr>
          <w:b/>
        </w:rPr>
        <w:t>[Pages 22–24]</w:t>
      </w:r>
    </w:p>
    <w:p>
      <w:r>
        <w:t xml:space="preserve">22  </w:t>
        <w:br/>
        <w:t xml:space="preserve">deviations from the budget/economic plan that jeopardize the balance of the budget, § 22 para. 7 BRK statutes.  </w:t>
        <w:br/>
        <w:t xml:space="preserve">(72) The tasks of the state board include promoting the activities and cooperation of the branches of the BRK, namely the district associations and the local associations, § 17 para. 2 no. 5 BRK statutes. It issues framework business regulations for the district and local associations, § 17 para. 2 no. 10 BRK statutes. Finally, it establishes a financial management committee, § 17 para. 3 BRK statutes.  </w:t>
        <w:br/>
        <w:t xml:space="preserve">(73) The state board is responsible for the strategic direction of the BRK (§ 17 para. 2 no. 1 BRK statutes), the final preparation of the budget/economic plan (no. 2), the resolution on the annual financial statements (including the overall annual financial statement of the corporation, no. 3), the issuance of guidelines on matters of fundamental importance and special significance (no. 4), and the issuance of framework business regulations for the district and local associations (no. 10). Furthermore, it can delegate matters for independent handling to the state managing directors (no. 17). The state board has the authority to issue instructions to the district and local boards in accordance with § 17 BRK statutes in cases of violations of laws, regulations, BRK and DRK statutes, as well as guidelines and resolutions of the corporation, and in cases of violations of the fulfillment of their tasks in accordance with §§ 29 para. 1 and 40 para. 1 BRK statutes.  </w:t>
        <w:br/>
        <w:t xml:space="preserve">(74) The budget committee establishes the audited annual financial statements, among others, of the district associations and discharges, in particular, the voting members of the state board and the district associations, § 15 sentence 5 no. 5 BRK statutes.  </w:t>
        <w:br/>
        <w:t xml:space="preserve">(75) The president can also exert influence through the authority to convene extraordinary board meetings in local and district associations when it is necessary in the interest of the Red Cross, § 20 para. 4 BRK statutes.  </w:t>
        <w:br/>
        <w:t xml:space="preserve">(76) The state management has comprehensive information rights over all matters of the district and local associations within its area of responsibility; in addition, it has rights of access to reports, files, business and cash management of the district associations, § 22 para. 6 BRK statutes. The spokesperson of the state managing directors has the right to propose the district managing director and is consulted in the event of his dismissal, § 42 para. 1 and 2 BRK statutes.  </w:t>
        <w:br/>
        <w:t xml:space="preserve">(77) The tasks of the local managing director include implementing the guidelines of the state board and the instructions of the district managing director, § 32 para. 1 BRK statutes. The tasks of the district board include observing the resolutions of the state assembly and the instructions of the state board in its decisions, § 40 para. 1 BRK statutes.  </w:t>
        <w:br/>
        <w:t xml:space="preserve">(78) Finally, the local and district associations can be divided or merged by resolution of the state assembly, another organ of the BRK corporation. For their consensual merger, a resolution of the state board with a simple majority is sufficient, § 57 para. 1 BRK statutes. This means that the district and local associations do not have protection of existence against the state assembly. Ultimately, the state assembly is responsible for resolving matters of far-reaching and fundamental importance for the BRK (§ 14 para. 1 no. 4 BRK statutes), for resolving amendments to the statutes (§ 14 para. 1 no. 6), for setting the minimum contributions of the members (§ 14 para. 1 no. 7), and for discharging the district boards (§ 14 para. 1 no. 9).  </w:t>
        <w:br/>
        <w:t xml:space="preserve">(79) The dominant influence on the district and local associations is particularly evident through the managing directors' conference. It exists at the state level; it includes the state, district, and local managing directors, § 22a para. 1 BRK statutes.  </w:t>
        <w:br/>
        <w:t xml:space="preserve">(80) It meets at least three times a year and establishes its own rules of procedure. It decides by simple majority, and for resolutions of significant financial importance, by qualified (two-thirds) majority, § 22a para. 2 and 3 BRK statutes. § 22b of the BRK statutes defines the tasks of the managing directors' conference. Its main tasks are thus the coordination of economic activities within the framework of strategic guidelines among the branches. It makes final and independent decisions regarding the coordination of personnel development and economic standards, corporate design, and labor law, thereby ensuring that the BRK operates cohesively and as uniformly as possible in the market through its branches. Furthermore, labor, tariff, and tax law, as well as accounting and controlling, are standardized through the managing directors' conference.  </w:t>
        <w:br/>
        <w:t xml:space="preserve">(81) The resolutions of the managing directors' conference, which coordinates economic activities within the framework of strategic guidelines among the branches in accordance with § 22b para. 1 BRK statutes, and which serves as an advisory body to the state board and the presidium, can even be made binding through a confirmation by the presidium, the third organ of the BRK, § 22c para. 1 BRK statutes. The managing directors' conference prepares the necessary resolutions of the state board and the presidium in accordance with § 22b para. 1 BRK statutes. The strategic decisions are to be made by the state assembly according to the will of the statutes and also in the self-understanding of the managing directors' conference.  </w:t>
        <w:br/>
        <w:t xml:space="preserve">(82) In other areas, the managing directors' conference acts as an implementation body for topics assigned to it by the state board or presidium, § 22b para. 3 of the BRK statutes, and also ensures uniform execution in the district and local associations. The implementation of the resolutions is de facto a formality.  </w:t>
        <w:br/>
        <w:t xml:space="preserve">(83) Additionally, there is the regional principle, so that there is no competition between the local or district associations. The managing directors' conference ensures that the BRK is uniformly structured and presents itself at all levels of the branches.  </w:t>
        <w:br/>
        <w:t xml:space="preserve">(3) Subordinate group by virtue of actual control  </w:t>
        <w:br/>
        <w:t xml:space="preserve">(84) These comprehensive influence possibilities of the managing directors' conference on the district and local associations are also practiced in reality: According to the self-understanding of the managing directors' conference, its function goes beyond structural leadership and makes binding decisions for operational business.  </w:t>
        <w:br/>
        <w:t xml:space="preserve">(85) The strategic guidelines made by the managing directors' conference for the member associations are derived from their minutes. The guidelines concern the areas of procurement, billing, data processing center, insurance, advertising, emergency services, nursing homes, old clothing collections, first aid courses, IT, legal transactions, department heads, and association financing.  </w:t>
        <w:br/>
        <w:t xml:space="preserve">(86) This listing makes it clear that the strategic guidelines of the managing directors' conference for the district and local associations go far beyond the veto rights of a minority shareholder. The limitation to the performance capability of the local associations does not contradict this.  </w:t>
        <w:br/>
        <w:t>(87) Even if one were to follow the parties involved in the merger to the extent that there are no fundamental instructions of the BRK state board in the fulfillment of the tasks by the local associations, particularly in operational business, strategic direction, and financial planning, and that the instructions are limited to violations of laws and violations of the fulfillment of their tasks assigned to them by the BRK statutes, § 17 para. 6 BRK statutes, there is sufficient</w:t>
      </w:r>
    </w:p>
    <w:p>
      <w:r>
        <w:rPr>
          <w:b/>
        </w:rPr>
        <w:t>[Pages 25–27]</w:t>
      </w:r>
    </w:p>
    <w:p>
      <w:r>
        <w:t xml:space="preserve">25  </w:t>
        <w:br/>
        <w:t xml:space="preserve">There are indications that, in practice, the managing director conference determines and standardizes the operational business.  </w:t>
        <w:br/>
        <w:t xml:space="preserve">(88) Therefore, the decision of the BAG cited by the applicants regarding whether a group works council was legally established in the DRK Rheinland-Pfalz cannot provide guidance. The examination criterion in this procedure was § 54 para. 1 BetrVG; this concerns the case of a subordinate group. The subject of the BAG's decision is the control relationships in the DRK Rheinland-Pfalz, a state association that structurally differs from the BRK from the outset. It possesses legal personality both in the umbrella organization and in all member bodies as registered associations. Accordingly, the statutes of both state associations are not identical and are difficult to compare in their interpretation in practice. Furthermore, the BAG only deals with a segment of the association structure, namely the control relationships in the area of personnel matters. Therefore, the judgment of the BAG has neither legal nor factual prejudicial effect for the BRK.  </w:t>
        <w:br/>
        <w:t xml:space="preserve">(89) Finally, the constellation of a horizontal group, which is the subject of the expert opinion submitted by Professor Habersack, is not present. If the BSD-BRK, the district and county associations are in a subordinate relationship to the BRK as stated, the question of whether these entities can form a horizontal group within the BRK no longer arises.  </w:t>
        <w:br/>
        <w:t xml:space="preserve">(90) The question of whether the BRK-BSD could possibly form a horizontal group with other entities of the DRK (especially the blood donation services), which the expert opinion denies, can be left open, as such a relationship does not exist here. In this assessment, the decision division agrees with the BSD-BRK after evaluating all submitted documents and protocols.  </w:t>
        <w:br/>
        <w:t xml:space="preserve">(91) As a result, a dominant influence of the BRK on its district and county associations arises solely from the BRK statutes and the derived regulations. There are continuous rights of instruction from top to bottom and close allocations of competencies that are also practiced. Even if one were to attribute the characteristics of an independent company to the district and county associations despite their lack of legal personality, they would form a subordinate group under § 36 para. 2 sentence 1 GWB due to the close statutory conditions under which they can operate.  </w:t>
        <w:br/>
        <w:t xml:space="preserve">c) Second domestic turnover threshold, § 35 para. 1 no. 2 GWB  </w:t>
        <w:br/>
        <w:t xml:space="preserve">(92) The revenues of the BSD StKM with external customers were still above 5 million euros at the time of registration, thus reaching the second domestic turnover threshold, § 35 para. 1 no. 2 GWB. In a letter dated March 18, 2016, the parties involved in the merger informed that the revenues with external customers in 2015 had fallen significantly below 5 million euros. Therefore, the second domestic turnover threshold of 5 million euros would not be exceeded. It would only be exceeded if the expected revenues from the supply contract to StKM were to be included, which are significantly below 5 million euros. This has only been recognized by the office's practice in so-called outsourcing cases, where internal revenues were generated with the outsourced operational part. This is not the case here, as these revenues arise solely from the conclusion of a supply contract due to the peculiarities of this case (lack of congruence between the - anyway to be settled by March 31, 2016 - operating resources and the internal revenues that can be generated from them, loss of customers due to questionable supply security in spring 2016).  </w:t>
        <w:br/>
        <w:t xml:space="preserve">(93) It follows from this that, due to these peculiarities, no merger control threshold is met, see below under Rn 95 ff.  </w:t>
        <w:br/>
        <w:t xml:space="preserve">II. Deadline  </w:t>
        <w:br/>
        <w:t xml:space="preserve">(94) The registration of the merger was received by fax on November 27, 2015. By letter dated December 22, 2015, received by the parties involved in the merger on the same day, the decision division informed the parties involved in the merger that it had initiated the main examination procedure. According to § 40 para. 2 sentence 2 GWB, the deadline for prohibiting the merger ends on March 29, 2016, since March 27 and 28, 2016 fall on Easter Sunday and Easter Monday, two public holidays.  </w:t>
        <w:br/>
        <w:t xml:space="preserve">III. Merger control thresholds  </w:t>
        <w:br/>
        <w:t xml:space="preserve">(95) The registered project no longer constitutes an asset acquisition under § 37 para. 1 no. 1 GWB at the time of this decision. A control acquisition under § 37 para. 1 no. 2 sentence 2 lit. a) GWB is also no longer present.  </w:t>
        <w:br/>
        <w:t xml:space="preserve">(96) The asset acquisition in the sense of § 37 para. 1 no. 1 GWB requires the transfer of full rights to essential parts of a company's assets, which consist of all monetary goods and rights of the company. The acquirer must be able to integrate into the existing market position of the seller through the asset acquisition. In this context, external growth subject to merger control must be distinguished from purely internal growth. The control acquisition in the sense of § 37 para. 1 no. 2 GWB through the acquisition of an asset part is subject to the same criteria as the asset acquisition under § 37 para. 1 no. 1 GWB.  </w:t>
        <w:br/>
        <w:t xml:space="preserve">(97) As stated above, the operating assets have eroded significantly during the proceedings, particularly regarding customer contracts and employees. The announcement of the closure of the BSD-StKM has led to a self-reinforcing - independent of the present merger control procedure - flight effect among customers. This is primarily due to the fact that blood products are highly sensitive products, whose availability is essential for the operation of a hospital. Even the slightest indications of delivery difficulties are sufficient to trigger a change of suppliers. Additionally, only a few employees have agreed to a change.  </w:t>
        <w:br/>
        <w:t>(98) The already low external revenues in 2015 of significantly less than 5 million euros - across all blood products - therefore no longer represent the actual marketable performance capability of the transferring operational part at this point in time. This is significantly lower. Therefore, the BSD-BRK will not be able to integrate into the market position of the BSD-StKM.</w:t>
      </w:r>
    </w:p>
    <w:p>
      <w:r>
        <w:rPr>
          <w:b/>
        </w:rPr>
        <w:t>[Pages 28–30]</w:t>
      </w:r>
    </w:p>
    <w:p>
      <w:r>
        <w:t xml:space="preserve">28  </w:t>
        <w:br/>
        <w:t xml:space="preserve">(99) Even if the acquisition of the means of production does not in itself represent an existing market position, the contractual linkage with the supply of blood products to the StKM for the next four years cannot establish this market position when examining the merger criteria. The acquisition of assets from the blood donation service of the StKM is not a prerequisite for the fulfillment of this service contract for the BRK. The technical linkage of the sale of the blood donation service with the supply contract does not create a structural competitive position in the present case.  </w:t>
        <w:br/>
        <w:t xml:space="preserve">(100) Due to the identical assessment criteria, a control acquisition according to § 37 para. 1 no. 2a GWB is also no longer present in this case.  </w:t>
        <w:br/>
        <w:t xml:space="preserve">(101) In the absence of a merger criterion, the project is no longer subject to merger control at the time of the decision. It is therefore to be cleared (§ 40 para. 2 sentence 1 GWB).  </w:t>
        <w:br/>
        <w:t xml:space="preserve">D. Fees  </w:t>
        <w:br/>
        <w:t>(102) […]</w:t>
      </w:r>
    </w:p>
    <w:p>
      <w:r>
        <w:t xml:space="preserve">29  </w:t>
        <w:br/>
        <w:t xml:space="preserve">E. Instruction on Legal Remedies  </w:t>
        <w:br/>
        <w:t xml:space="preserve">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statement submitted to the Federal Cartel Office or the appellate court. The deadline for substantiating the appeal is two months. It begins with the delivery of the decision and can be extended upon request by the presiding judge of the appellate court. The appeal substantiation must include a statement indicating the extent to which the decision is being contested and the request for its amendment or annulment, as well as the facts and evidence, which may also be new, on which the appeal is based.  </w:t>
        <w:br/>
        <w:t xml:space="preserve">The appeal and the appeal substantiation must be signed by a lawyer.  </w:t>
        <w:br/>
        <w:t>Temme Dr. Wimmer Dr. Laufkötter</w:t>
      </w:r>
    </w:p>
    <w:p>
      <w:r>
        <w:t xml:space="preserve">30  </w:t>
        <w:br/>
        <w:t xml:space="preserve">Table of Contents  </w:t>
        <w:br/>
        <w:t xml:space="preserve">A. Summary ........................................................................................................... 3  </w:t>
        <w:br/>
        <w:t xml:space="preserve">B. Facts ................................................................................................................ 4  </w:t>
        <w:br/>
        <w:t xml:space="preserve">I. The Project ....................................................................................................... 4  </w:t>
        <w:br/>
        <w:t xml:space="preserve">II. The Parties ....................................................................................................... 5  </w:t>
        <w:br/>
        <w:t xml:space="preserve">1. BSD-BRK ................................................................................................................. 5  </w:t>
        <w:br/>
        <w:t xml:space="preserve">2. The business unit to be acquired: BSD-StKM ....................................................... 9  </w:t>
        <w:br/>
        <w:t xml:space="preserve">III. Procedure ......................................................................................................... 11  </w:t>
        <w:br/>
        <w:t xml:space="preserve">C. Formal Examination ....................................................................................... 12  </w:t>
        <w:br/>
        <w:t xml:space="preserve">I. Notification and Control Obligations ................................................................ 12  </w:t>
        <w:br/>
        <w:t xml:space="preserve">1. Corporate Status of the Merger Parties .............................................................. 13  </w:t>
        <w:br/>
        <w:t xml:space="preserve">2. Revenue Thresholds, § 35 Abs. 1 Nr. 1 GWB .................................................... 15  </w:t>
        <w:br/>
        <w:t xml:space="preserve">a) The BRK as a legal and factual entity in its entirety ......................................... 16  </w:t>
        <w:br/>
        <w:t xml:space="preserve">aa) Legal entity: The lack of legal capacity of the district and regional associations ... 17  </w:t>
        <w:br/>
        <w:t xml:space="preserve">bb) Joint resource utilization ................................................................................ 18  </w:t>
        <w:br/>
        <w:t xml:space="preserve">b) Alternatively: Attribution of revenues of the BRK (including those of the district and regional associations) and its subsidiaries according to § 36 Abs. 2 GWB ... 19  </w:t>
        <w:br/>
        <w:t xml:space="preserve">aa) Attribution of revenues of the district and regional associations ...................... 20  </w:t>
        <w:br/>
        <w:t xml:space="preserve">(1) The view of the merger parties ................................................................. 20  </w:t>
        <w:br/>
        <w:t xml:space="preserve">(2) Subordinate group by virtue of statutory design .................................... 21  </w:t>
        <w:br/>
        <w:t xml:space="preserve">(3) Subordinate group by virtue of actual control ....................................... 24  </w:t>
        <w:br/>
        <w:t xml:space="preserve">c) Second domestic revenue threshold, § 35 Abs. 1 Nr. 2 GWB .......................... 26  </w:t>
        <w:br/>
        <w:t xml:space="preserve">II. Deadline ........................................................................................................... 26  </w:t>
        <w:br/>
        <w:t xml:space="preserve">III. Merger Criteria ............................................................................................... 27  </w:t>
        <w:br/>
        <w:t xml:space="preserve">D. Fees ................................................................................................................ 28  </w:t>
        <w:br/>
        <w:t>F. Instruction on Legal Remedies ....................................................................... 29</w:t>
      </w:r>
    </w:p>
    <w:p>
      <w:r>
        <w:rPr>
          <w:b/>
        </w:rPr>
        <w:t>[Pages 31–31]</w:t>
      </w:r>
    </w:p>
    <w:p>
      <w:r>
        <w:t xml:space="preserve">31  </w:t>
        <w:br/>
        <w:t xml:space="preserve">(1) Die Gebühren für die Erteilung von Genehmigungen und die Durchführung von Prüfungen richten sich nach der Gebührenordnung des BRK.  </w:t>
        <w:br/>
        <w:t xml:space="preserve">(2) Die Höhe der Gebühren wird durch den Vorstand des BRK festgelegt und kann je nach Art und Umfang der Dienstleistung variieren.  </w:t>
        <w:br/>
        <w:t xml:space="preserve">(3) Die Gebühren sind vor der Erteilung der Genehmigung zu entrichten.  </w:t>
        <w:br/>
        <w:t xml:space="preserve">(4) Bei verspäteter Zahlung können Verzugszinsen in Höhe von 5 % über dem Basiszinssatz erhoben werden.  </w:t>
        <w:br/>
        <w:t xml:space="preserve">(5) Die Gebührenordnung wird regelmäßig überprüft und gegebenenfalls angepasst.  </w:t>
        <w:br/>
        <w:t>(6) Die aktuellen Gebühren sind auf der Website des BRK veröffentlicht.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