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https://www.bundeskartellamt.de/SharedDocs/Entscheidung/EN/Fallberichte/Fusionskontrolle/2024/B3-25-24.pdf?__blob=publicationFile&amp;v=2</w:t>
      </w:r>
    </w:p>
    <w:p>
      <w:r>
        <w:t>Pages translated : 7</w:t>
      </w:r>
    </w:p>
    <w:p/>
    <w:p>
      <w:r>
        <w:rPr>
          <w:b/>
        </w:rPr>
        <w:t>[Pages 1–3]</w:t>
      </w:r>
    </w:p>
    <w:p>
      <w:r>
        <w:t xml:space="preserve">Case summary 26 August 2024  </w:t>
        <w:br/>
        <w:t xml:space="preserve">Bundeskartellamt clears acquisition of Olink Holding AB by Thermo Fisher Scientific Inc.  </w:t>
        <w:br/>
        <w:t xml:space="preserve">Sector: Proteomics, biotechnology  </w:t>
        <w:br/>
        <w:t xml:space="preserve">File number: B3-25/24  </w:t>
        <w:br/>
        <w:t>Date of decision: 17 June 2024</w:t>
      </w:r>
    </w:p>
    <w:p>
      <w:r>
        <w:t>In the second phase of the merger control proceeding, the Bundeskartellamt cleared plans by Thermo Fisher Scientific Inc. (hereinafter: “TFS”) to acquire more than 90 percent of the shares in, and therefore sole control of, Olink Holding AB (hereinafter: “Olink”). The merger does not lead to a significant impediment to effective competition and, in particular, does not create or strengthen a dominant market position.</w:t>
      </w:r>
    </w:p>
    <w:p>
      <w:r>
        <w:t>The merger had to be notified in Germany due to the transaction value threshold under Section 35(1a) of the German Competition Act (GWB) as the value of the consideration amounts to the equivalent of approximately 2.8 billion euros and the target company Olink’s operations in Germany are substantial. The acquiring company TFS is a global provider of life science solutions, analytical instruments, specialty diagnostics, laboratory products, and biopharmaceutical services. In the field of proteomics relevant in this proceeding, TFS offers so-called mid-plex protein analyses and high-resolution accurate-mass (HRAM) mass spectrometers for identifying and elucidating the structure of small molecules. In the field of proteomics, mass spectrometry is used to physically analyze peptides as parts of proteins, for example, by determining the mass-to-charge ratio of ions or their time of flight. Moreover, TFS offers products for preparing and evaluating protein analyses, namely antibodies, quantitative polymerase chain reaction platforms (qPCR platforms), and next-generation sequencing platforms (NGS platforms).</w:t>
      </w:r>
    </w:p>
    <w:p>
      <w:r>
        <w:t>The target company Olink is a global provider of analysis systems and services in the proteomics industry. Depending on the number of proteins to be analyzed simultaneously, mid-plex or high-plex analyses are used to induce biochemical reactions with proteins, for example, by binding antibodies or aptamers to proteins (assumption underlying the authority’s assessment: mid-plex 22 to 100 proteins, high-plex more). In addition, Olink offers a qPCR instrument for evaluating mid-plex analyses. The relevant systems and services offered by the parties in the proteomics sector are primarily used to study proteins in order to gain medical and pharmaceutical knowledge. The customers of TFS and Olink include large, often global biotechnology and pharmaceutical companies, hospitals, diagnostic laboratories as well as many universities and other research and government institutions in Germany and abroad. TFS also serves companies in the environmental, industrial quality, and process control industries.</w:t>
      </w:r>
    </w:p>
    <w:p>
      <w:r>
        <w:t>Horizontal effects could have been possible with regard to antibodies, mid-plex analyses, and qPCR systems as both parties are active in these sectors. However, the conditions for prohibiting the merger are not met in any of the three sectors. Additionally, it could not be established that HRAM mass spectrometers with a particularly high performance level and high-plex analyses form a single proteomics discovery market, which is why there are no horizontal overlaps in these sectors, at least at present and for the relevant merger forecast period of three to five years.</w:t>
      </w:r>
    </w:p>
    <w:p>
      <w:r>
        <w:t>With regard to antibodies, an addition of market shares could have been possible only if antibodies produced on the basis of human blood, in animals, and in plants are all included in a single product market as TFS only produces antibodies of human and animal origin and Olink only those created in plants. In 2022 and 2023, TFS was at best the third-largest provider in terms of sales and market share, with a global antibody market share of less than 20 percent – far behind the leading players BioLegend and Abcam. Olink’s global market shares in 2022 and 2023 were so low that TFS’s market position in the antibodies sector is not sufficiently likely to change as a result of the merger to an extent relevant to competition.</w:t>
      </w:r>
    </w:p>
    <w:p>
      <w:r>
        <w:t>In the qPCR market, the parties are in horizontal competition with each other only if it is assumed that the relevant product market includes both the qPCR instruments offered by TFS for genomics and those offered by Olink for proteomics; ultimately this did not have to be decided. Even if this were the case, TFS’s market shares would be below the 40 percent threshold for the assumption of dominance as set out under Section 18(4) GWB. Moreover, the increase in TFS’s market shares resulting from the addition of Olink’s shares would be very small and, according to the relevant findings, not critical from a competition law perspective.</w:t>
      </w:r>
    </w:p>
    <w:p>
      <w:r>
        <w:t>In the mid-plex analysis sector, the parties are also in competition with each other only if different mid-plex technologies are assumed to form a single market, which, in the end, could be left open in this case.</w:t>
      </w:r>
    </w:p>
    <w:p>
      <w:r>
        <w:t>Olink offers mid-plex analyses using a proprietary technology based on the binding of antibodies to the target protein and a qPCR instrument for readout, which is unique in this sector. TFS offers its mid-plex analyses using the licensed Luminex technology based on flow cytometry. Even in a single market for mid-plex analyses, the parties’ combined market share would be well below 40 percent. In addition, there are a large number of providers, particularly in the Luminex analysis segment, and the customers surveyed did not mention any specific unique selling points or barriers to entry. If the market for self-testing analysis systems and the market for pure analysis services were defined as two separate markets, both parties would generally be active in both markets. However, the extent to which TFS offers mid-plex analysis services is very limited. The market share addition would therefore be minimal. Against this background, the planned merger does not raise any competition law concerns in the mid-plex analysis market.</w:t>
      </w:r>
    </w:p>
    <w:p>
      <w:r>
        <w:t>This also applies to the merger’s potential vertical effects despite the fact that TFS produces and sells antibodies and Olink requires the use of antibodies for the production of plex assays, meaning that the parties are active in upstream and downstream markets. Even if TFS could replace the antibodies from Olink’s suppliers with its own products, the numerous alternatives between which Olink’s competitors can choose on the upstream market are an obstacle to TFS’s ability to foreclose them as customers. In particular, research-use-only antibodies (RUO antibodies) for proteomics can, in the event of foreclosure, be purchased by providers of protein analyses from numerous other antibody producers, especially since, according to the information provided by competitors, the degree of the antibodies’ compatibility is relatively high and market entry barriers can be overcome without major difficulty. Given that TFS holds no patents for the production of antibodies, there is also no technological dependence on TFS. In addition, Olink’s demand for antibodies is limited, so that TFS would have to accept the loss of a large part of its sales if other antibody customers were lost due to foreclosure. In this respect, there is no apparent incentive to pursue a foreclosure strategy. TFS, in its role as a provider of antibodies with a market share of less than 20 percent, and Olink, in its role as a buyer of antibodies, are overall too insignificant for a possible market foreclosure strategy to have any appreciable effects to the detriment of their competitors.</w:t>
      </w:r>
    </w:p>
    <w:p>
      <w:r>
        <w:t>Finally, possible conglomerate effects between the markets for mid-plex analyses and qPCR, for high-plex analyses and NGS systems, or for high-plex analyses and HRAM mass spectrometers, on which the authority’s competition assessment focused, are not sufficiently likely to lead to a significant impediment to effective competition.</w:t>
      </w:r>
    </w:p>
    <w:p>
      <w:r>
        <w:t>It is possible that Olink’s mid-plex analysis systems will be bundled with TFS’s qPCR instruments, which is what most customers surveyed expect to happen. However, the parties to the merger are currently not dominant either in the mid-plex analysis sector or in the qPCR instrument sector. This means that they are unlikely to have the autonomous scope for competitive action necessary to pursue a foreclosure.</w:t>
      </w:r>
    </w:p>
    <w:p>
      <w:r>
        <w:rPr>
          <w:b/>
        </w:rPr>
        <w:t>[Pages 4–6]</w:t>
      </w:r>
    </w:p>
    <w:p>
      <w:r>
        <w:t>strategy through bundling. In addition, not all forms of mid-plex analyses require the use of qPCR instruments, and qPCR instruments are also used for many purposes outside proteomics, so that there is very little overlap between the customer groups for mid-plex analyses and qPCR instruments. Therefore, the only form of bundling conceivable in this context is mixed bundling achieved by granting discounts when both products are purchased, which is generally considered to be less harmful to competition. However, customers can switch to both alternative qPCR providers and alternative mid-plex providers, further limiting the chances of bundling being successful. The possibility for Olink to bundle its mid-plex analyses with the qPCR instruments offered by Standard BioTools has already existed prior to the merger and is therefore not a result of the merger. Similarly, conglomerate effects between Olink’s high-plex analyses and TFS’s NGS systems are not expected to significantly impede effective competition. Since Olink’s high-plex analyses are read out by using NGS systems, the corresponding markets are generally related markets offering complementary products. However, the throughput rate of TFS’s NGS systems is currently too low to read out Olink’s high-plex protein analyses, for which Illumina’s higher-performing NGS platforms are necessary. In this respect, conglomerate effects could occur only if TFS managed to upgrade its NGS platform within the forecast period. Regardless of this, it is questionable whether the parties have sufficient market power to effectively enforce a foreclosure strategy with respect to high-plex analyses and NGS systems. In view of Illumina’s market dominance, it must be assumed that this does not apply to TFS in the NGS systems market. With regard to Olink, at least the presumption of dominance would apply to the high-plex analysis market. However, one argument suggesting that the parties are not in a position to pursue a foreclosure strategy through bundling is again the fact that the customer groups overlap only partially. What is more, high-quality NGS instruments, which cost around one million euros, are capital goods, whereas high-plex analyses, with unit prices of well below 1,000 euros, are consumable goods. This makes it even more difficult to commercially bundle the products. In addition, the fact that customers are likely to be able to switch to other providers in the NGS market in the future further limits the parties’ ability to pursue a foreclosure strategy through bundling. Due to a number of expired patents, the NGS platforms of other providers are expected to become compatible with Olink’s high-plex analyses within the next five years. Moreover, high-plex analysis provider SomaLogic will probably be able to offer comparable product combinations before the end of 2024 as a result of its partnership with Illumina. Especially, if it is assumed that this market situation will provide an economic incentive to improve or redevelop TFS’s NGS systems, this would generally have a positive stimulating effect on competition in the market for NGS systems, which has previously been dominated by Illumina while TFS’s market position has been weak.</w:t>
      </w:r>
    </w:p>
    <w:p>
      <w:r>
        <w:t>The assessment of conglomerate effects focused on the markets for HRAM mass spectrometers and high-plex analyses. However, also with regard to these markets, the proposed merger was ultimately not expected to significantly impede effective competition. In particular, with regard to TFS’s particularly high-performing HRAM mass spectrometers, which are suitable for use in proteomics discovery, the parties, most competitors and the majority of customers believe that there is a degree of complementarity with Olink’s high-plex analyses and therefore a competitive relationship between the two markets. Still, substitutability between the two products is currently very limited as the analytical methods differ in many aspects and the products are still largely used for different purposes. Although the target groups are the same, namely research institutions, university hospitals, life science and pharmaceutical companies active in the proteomics sector, the majority of customers still focus on different aspects in their research and therefore choose the analysis method which best suits their needs. For this reason, a single proteomics discovery market which includes both proteome research technologies is to be rejected. Nevertheless, it is precisely the combination of these two analytical methods that makes it possible to carry out particularly comprehensive proteome research. The presumption of TFS’s dominance in the market for HRAM mass spectrometers, where it has a market share of [40-45] per cent, and, more specifically, in the market for HRAM mass spectrometers used in particular for proteomics, where it has a market share of [45-50] per cent, is at least debateable given the competitive situation in the relevant markets. Besides TFS, the following companies in particular are active in the general market for HRAM mass spectrometers: Bruker with a market share of [15-20] per cent, Waters with at least [over 10] per cent, SCIEX with [5-10] per cent and Agilent, Shimadzu and Jeol with market shares of only [0-5] per cent each. With regard to HRAM mass spectrometers for proteomics, Bruker has challenged TFS’s long-standing dominance and has now achieved a similar market position with market shares between [40-45] per cent. Competition is fierce between the two providers. Bruker is also TFS’s main competitor in the even more specialised proteomics discovery sector. SCIEX is also active in this sector to a much lesser extent and Shimadzu is also planning to enter this sector in the future. TFS’s strong position is initially confirmed by the customers’ responses to the questions about their suppliers and the unique selling points of individual HRAM mass spectrometer manufacturers. However, the overall picture, particularly Bruker’s success but also the activities of the other competitors mentioned, shows that even strong market positions can be challenged and are successfully contested in this market for HRAM mass spectrometers, which is not driven by price but primarily by technology. In the end, the decision on whether or not TFS has a dominant position in the HRAM mass spectrometer market is irrelevant as the merger does not significantly strengthen this position anyway.</w:t>
      </w:r>
    </w:p>
    <w:p>
      <w:r>
        <w:t>In terms of market shares, Olink had a particularly strong position in the market for high-plex analyses in 2022 ([55-60] per cent), followed by SomaLogic ([40-45] per cent) and, lagging far behind, Nomic. The Californian start-up Alamar only entered the market at the beginning of 2024, but is expected to also play a role in this market in the future. Olink’s prominent position is confirmed when looking at the competitive situation as well as by the customers’ responses to the questions about their suppliers and the unique selling points of individual high-plex analysis providers. However, the fact that the market for high-plex analyses is an innovative growth market could at least offset Olink’s position. Since Olink’s position is not likely to be strengthened in any event, the question whether Olink has a dominant position can also be left open. Although both parties have significant market positions in their respective areas of expertise, these will not be significantly strengthened by conglomerate effects resulting from the merger. This is due to the fact that the customer groups for the two products, which are usually procured independently of one another, have so far overlapped only to a limited extent, and due to the competitive situation in the relevant markets. Olink’s high-plex assays can be used to conduct analyses that cannot (or at least not yet) be carried out even with a particularly high-performing mass spectrometer from TFS due to the instrument’s technological limitations, particularly in terms of sensitivity and throughput. Conversely, high-plex analyses are currently limited to a certain number of previously known proteins, whereas HRAM mass spectrometers can generally detect all proteins, including unknown ones. The relationship between these two forms of analysis is, at best, extremely minor fringe substitution, which could develop into a competitive relationship in the future as a result of technological progress. However, as this is not expected to happen within the forecast period under competition law, the merger is not sufficiently likely to contribute to a lessening of fringe or potential competition. Tying or bundling strategies which could create or strengthen the market power of the parties involved are also unlikely to be pursued due to a lack of possibilities and incentives. HRAM mass spectrometers cannot be technically bundled with high-plex analyses; the only aspect with regard to which bundling would be possible is common evaluation software, which would still have to be developed. Such tying or bundling is, however, not sufficiently likely to happen, given the existing competition in the relevant software markets. The fact that the procurement cycles and processes are very different is an argument against the only possible option, namely commercial mixed bundling by offering discounts when both products are purchased together. While HRAM mass spectrometers are expensive capital goods that often have to undergo internal approval procedures, high-plex analyses can be purchased flexibly as consumable goods or services according to individual needs. In addition, the technology relevant to the specific research purposes is far more important for the procurement decision than possible discounts.</w:t>
      </w:r>
    </w:p>
    <w:p>
      <w:r>
        <w:rPr>
          <w:b/>
        </w:rPr>
        <w:t>[Pages 7–7]</w:t>
      </w:r>
    </w:p>
    <w:p>
      <w:r>
        <w:t>due to bundling. Not only is it not a possibility to pursue bundling strategies, there is no incentive to do so either. This is mainly due to the fact that customers can switch to other providers of HRAM mass spectrometers and to alternative providers of high-plex analyses, which have all been mentioned above. The impact of barriers to switching providers is counterbalanced by the customers’ interest in having access to the latest scientifically relevant technologies. In addition, the HRAM mass spectrometer market and the high-plex market are currently experiencing a great deal of activity as a result of mergers, financial investments and cooperation agreements, particularly among the above-mentioned major competitors of the parties involved, which can be seen as a strategy to counteract companies with a strong or dominant market position. After the merger, these competitive efforts are likely to intensify, precisely because both relevant proteomics markets are characterised by high growth potential and rapid technological development. Given this market situation and the limited interest of customers in purchasing both products together, the merged entity would probably not be able to implement any bundling strategy in a profitable way and therefore would probably not be able to deter potential competitors. The parties’ market positions are not strengthened by portfolio effects either. Despite TFS’s vertical integration and broad product range, it is not technically or commercially possible to combine the products because customers purchase HRAM mass spectrometers and high-plex analyses separately, and because the customer groups and procurement cycles are different. The other products produced by TFS that are relevant for mid-plex and high-plex analyses, such as qPCR and NGS, cannot currently be used for proteomics and are, as yet, not compatible with Olink’s plex analyses. Although this may change in the future, it is still unlikely to lead to anti-competitive conglomerate effects. It can be assumed that the merger will strengthen Olink’s financial resources. But increased financial strength alone does not mean that the market structure will deteriorate. In conclusion, neither possible horizontal effects with regard to the antibody, qPCR and mid-plex analysis markets, nor vertical or conglomerate effects, the latter particularly with regard to high-plex analyses and HRAM mass spectrometers, will result in a significant impediment to effective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