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http://www.bundeskartellamt.de/SharedDocs/Entscheidung/DE/Fallberichte/Fusionskontrolle/2016/B3-37-16_B2-58-16.pdf;jsessionid=F67D0C060479B5EBC6A13BCD5C98C8F9.1_cid362?__blob=publicationFile&amp;v=2</w:t>
      </w:r>
    </w:p>
    <w:p>
      <w:r>
        <w:t>Pages translated : 4</w:t>
      </w:r>
    </w:p>
    <w:p/>
    <w:p>
      <w:r>
        <w:rPr>
          <w:b/>
        </w:rPr>
        <w:t>[Pages 1–3]</w:t>
      </w:r>
    </w:p>
    <w:p>
      <w:r>
        <w:t xml:space="preserve">Case Report September 23, 2016  </w:t>
        <w:br/>
        <w:t xml:space="preserve">Withdrawal of the application in the case of the acquisition of the business segment  </w:t>
        <w:br/>
        <w:t xml:space="preserve">glass fiber nonwovens and technical reinforcement fabrics of Ahlstrom Glasfibre Oy  </w:t>
        <w:br/>
        <w:t xml:space="preserve">by Owens Corning  </w:t>
        <w:br/>
        <w:t xml:space="preserve">Industry: Glass Fiber Nonwovens  </w:t>
        <w:br/>
        <w:t xml:space="preserve">File Number: B3-37/16, B2-58/16  </w:t>
        <w:br/>
        <w:t xml:space="preserve">Date of Decision: Withdrawal of the Application  </w:t>
        <w:br/>
        <w:t xml:space="preserve">The Federal Cartel Office has conducted an in-depth examination of the acquisition of the business segment glass fiber nonwovens and technical reinforcement fabrics of the Finnish Ahlstrom Glassfibre Oy (Ahlstrom) by the company Owens Corning in the main review procedure. The parties withdrew the application after the Federal Cartel Office communicated its concerns regarding the project to the parties in a letter dated June 27, 2016. According to the preliminary assessment of the Federal Cartel Office, the merger would have led to a significant impediment to effective competition in the EEA-wide market for wet-laid glass fiber nonwovens. The merger would have eliminated the third-largest supplier with a significant market share as an independent competitor, which has so far had considerable competitive significance. Only one significant competitor would have remained alongside the merged company.  </w:t>
        <w:br/>
        <w:t>The affected products are made from glass fibers in aqueous solution and chemical binders. In particular, the different combinations of these raw materials on the production line lead to glass fiber nonwovens with differentiated properties that are used in a variety of application areas. In many application areas, the exact specification of the glass fiber nonwovens is tailored to customer requirements, and production typically occurs to order for a specific customer. The companies that demand these glass fiber nonwovens operate in a variety of industrial sectors. The largest share is accounted for by the construction industry, particularly in roofing and various applications within the building interior. Customers include, for example, building material manufacturers and manufacturers of floor coverings or glass fiber nonwovens for interior decoration.</w:t>
      </w:r>
    </w:p>
    <w:p>
      <w:r>
        <w:t xml:space="preserve">The competitive effects of the merger would have been particularly noticeable in Germany, as Germany is by far the largest sales market for wet-laid glass fiber nonwovens within the EEA1. Germany accounts for approximately 30 percent of the total EEA sales, followed by France (9%), Belgium (8%), and the United Kingdom (6%). The demand side for wet-laid glass fiber nonwovens in Germany is also diverse. Customers – ranging from large corporations to small businesses – cover the entire application spectrum of glass fiber nonwovens. Their processed products, in turn, are used in a variety of industrial sectors. The antitrust review by the Federal Cartel Office as the sole competition authority in Europe besides Russia was therefore also justified from an economic perspective.  </w:t>
        <w:br/>
        <w:t xml:space="preserve">Based on the investigations conducted, the Federal Cartel Office assumed a market for wet-laid glass fiber nonwovens.2 This market has a volume of approximately 200 million euros across the EEA and around 60 million euros in Germany. In contrast, the parties had represented a division into at least eight relevant markets during the proceedings. Thus, according to the parties, only so-called trivial markets3 were affected by the merger. According to this, a merger cannot be prohibited if the prohibition requirements exist in a market where less than 15 million euros were generated in Germany in the last calendar year. The Federal Cartel Office did not follow this view of the parties. Ultimately, the very high conversion flexibility of the suppliers between glass fiber nonwovens for different application areas, in light of the competitive conditions in the affected market, was decisive.  </w:t>
        <w:br/>
        <w:t xml:space="preserve">As part of the investigations, detailed information on their actual production processes was requested from all relevant manufacturers. The evaluation revealed that the affected products are not only produced on the same production facilities and fundamentally from the same raw materials. A conversion between products for different customers or applications regularly occurs in the ordinary production process and even partially without interruption or additional costs. All suppliers are also striving to utilize their facilities by producing for different customer groups.  </w:t>
        <w:br/>
        <w:t xml:space="preserve">The four companies active in the market are therefore available to the demanders as potential suppliers for most application areas. Moreover, they are all willing to accommodate individual customer requests and adjust the specifications of the produced glass fiber nonwovens accordingly. This also corresponds to the perception of the customers according to the findings of the Federal Cartel Office. A division of the markets based on the many different application possibilities would thus not have been justified either according to the demand market concept, which initially focuses on the substitution possibilities of the direct customers, or considering the conversion flexibility, and would have resulted in a large number of partially very small ("atomistic") markets for the affected glass fiber nonwovens.  </w:t>
        <w:br/>
        <w:t xml:space="preserve">According to the preliminary assessment of the Federal Cartel Office, the project would have led to a significant increase in the already high concentration level in the EEA-wide market for wet-laid glass fiber nonwovens. Owens Corning would have been granted further leeway as the market leader with a revenue-based market share of 50 to 60 percent after the merger. The third-largest supplier with a significant market share (10%-20%) would have been eliminated as an independent competitor with Ahlstrom. In the market, only one significant competitor, the US company Johns Manville, with a market share of 30 to 40 percent would have remained, along with the Saint Gobain Group with a market share of less than 10 percent. After the merger, more than 90 percent of the market would have been accounted for by two suppliers.  </w:t>
        <w:br/>
        <w:t>According to the investigations of the Federal Cartel Office, the merger parties and Johns Manville are close competitors. The products they manufacture are qualitatively regarded as nearly equivalent by the customers surveyed during the proceedings. There are also significant overlaps between the manufacturers regarding the customers served. In contrast, the competitive proximity to Saint Gobain as the fourth relevant manufacturer is less pronounced. Saint Gobain has a significantly lower market share and correspondingly lower capacities. Furthermore, the company is perceived by several potential customers as a competitor in some downstream markets, including in the area of interior decoration, as Saint Gobain group companies operate there. From the perspective of these market participants, Saint Gobain is not a viable alternative in these application areas, as the customer also provides the manufacturer with competitively relevant information for the production of glass fiber nonwovens. Furthermore, Saint Gobain's production capabilities do not meet customer needs for some application areas to the same extent.</w:t>
      </w:r>
    </w:p>
    <w:p>
      <w:r>
        <w:rPr>
          <w:b/>
        </w:rPr>
        <w:t>[Pages 4–4]</w:t>
      </w:r>
    </w:p>
    <w:p>
      <w:r>
        <w:t>The target company Ahlstrom plays an important competitive role in the affected market as a low-cost provider. This corresponds to the assessment of the surveyed customers and also results from the analysis of the collected market data conducted by the Federal Cartel Office. Ahlstrom therefore represents an important alternative for customers, particularly to the two leading suppliers. Customers predominantly pursue a multi-supplier strategy for reasons including supply security. In recent years, they have not made any significant changes in suppliers or shifts in their procurement volumes. The switching rate during the entire period from 2012 to 2015 was clearly below one percent. The merger would have noticeably restricted the alternatives available to customers.</w:t>
      </w:r>
    </w:p>
    <w:p>
      <w:r>
        <w:t>Due to the structural market conditions, the preliminary view of the Federal Cartel Office was that the merger would have created incentives for the remaining manufacturers to worsen the supply conditions by, for example, reducing the quantities offered, increasing prices, and/or deteriorating the delivery conditions for customers. These unilateral effects would have been favored by capacity constraints. Furthermore, the barriers to market entry for the production of wet-laid glass fiber nonwovens are considered to be very high due to significant investment costs and the specialized knowledge required. Therefore, a compensation for the competitive pressure lost due to the merger through market entries or capacity expansions was not expected in the coming years.</w:t>
      </w:r>
    </w:p>
    <w:p>
      <w:r>
        <w:t>The merger participants opposed the preliminary assessment of the Office. However, due to the withdrawal of the notification, they did not provide any further detailed comments on the facts and their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