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http://www.bundeskartellamt.de/SharedDocs/Entscheidung/DE/Fallberichte/Missbrauchsaufsicht/2015/B3-50-12_164-14.pdf;jsessionid=EAAD513077B8DD7100B4CE22B1526FF5.1_cid387?__blob=publicationFile&amp;v=3</w:t>
      </w:r>
    </w:p>
    <w:p>
      <w:r>
        <w:t>Pages translated : 2</w:t>
      </w:r>
    </w:p>
    <w:p/>
    <w:p>
      <w:r>
        <w:rPr>
          <w:b/>
        </w:rPr>
        <w:t>[Pages 1–2]</w:t>
      </w:r>
    </w:p>
    <w:p>
      <w:r>
        <w:t xml:space="preserve">Case Report January 29, 2015  </w:t>
        <w:br/>
        <w:t xml:space="preserve">Fine against SodaStream and Commitment  </w:t>
        <w:br/>
        <w:t xml:space="preserve">Industry: Refilling of carbon dioxide cylinders for water carbonation devices  </w:t>
        <w:br/>
        <w:t xml:space="preserve">File Numbers: B3-50/12 and B3-164/14  </w:t>
        <w:br/>
        <w:t xml:space="preserve">Date of Decision: January 22, 2015  </w:t>
        <w:br/>
        <w:t>The Federal Cartel Office imposed a fine of 225,000 euros on SodaStream GmbH on January 22, 2015, in an independent cartel administrative offense proceeding.</w:t>
      </w:r>
    </w:p>
    <w:p>
      <w:r>
        <w:t>In 2012, proceedings were initiated against SodaStream GmbH on suspicion of repeated abuse of a dominant market position. SodaStream cooperated with the office following the search and accepted a settlement.</w:t>
      </w:r>
    </w:p>
    <w:p>
      <w:r>
        <w:t>As early as 2006, the office had ruled that it was anti-competitive for SodaStream (formerly Soda Club) to reserve the exclusive right to refill the carbon dioxide cylinders of the sold water carbonation devices as a dominant company. The Federal Court of Justice (BGH) confirmed this ruling in 2008.</w:t>
      </w:r>
    </w:p>
    <w:p>
      <w:r>
        <w:t>SodaStream was able to further expand its dominant position in the market for the refilling of carbon dioxide cylinders by acquiring the competitor Wassermax in 2009, which was not subject to merger control.</w:t>
      </w:r>
    </w:p>
    <w:p>
      <w:r>
        <w:t>Following the BGH ruling, SodaStream modified its distribution concept. However, with warning and safety notices as well as warranty disclaimers, SodaStream continued to create the impression, contrary to the court-confirmed ruling of the office, that it was solely entitled to refill the cylinders. For example, empty cylinders were explicitly to be returned to SodaStream or authorized dealers. Another notice stated that unauthorized refilling could be illegal. Although a banderole was affixed in accordance with the office's 2006 ruling, highlighting that the cylinders could also be refilled by other companies in compliance with legal regulations, this was accompanied by the addition that this notice was made at the request of the Federal Cartel Office. This also makes it clear that the company attempted to distance itself from the legally binding decision of the office.</w:t>
      </w:r>
    </w:p>
    <w:p>
      <w:r>
        <w:t>SodaStream not only abused its dominant position again but also violated a legally binding ruling of the office. The Federal Cartel Office assumed a uniform act in imposing the fine. The management of the affected parties was charged with negligence, as they refrained from consulting a law firm specialized in antitrust law despite being aware of the legal difficulties in implementing the abuse ruling.</w:t>
      </w:r>
    </w:p>
    <w:p>
      <w:r>
        <w:t>The company has committed to correcting the texts criticized by the office. Furthermore, SodaStream will affix a banderole on the carbon dioxide cylinders for an additional three years, highlighting that they may also be refilled by other companies in compliance with legal regulations, without the addition that this is done at the request of the office. The details of the changes are the subject of a commitment under § 32 b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