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https://www.bundeskartellamt.de/SharedDocs/Entscheidung/DE/Entscheidungen/Fusionskontrolle/2012/B3-64-12.pdf;jsessionid=574CF000176A153DFA4D22110127E1E9.2_cid378?__blob=publicationFile</w:t>
      </w:r>
    </w:p>
    <w:p>
      <w:r>
        <w:t>Pages translated : 22</w:t>
      </w:r>
    </w:p>
    <w:p/>
    <w:p>
      <w:r>
        <w:rPr>
          <w:b/>
        </w:rPr>
        <w:t>[Pages 1–3]</w:t>
      </w:r>
    </w:p>
    <w:p>
      <w:r>
        <w:t xml:space="preserve">3. Decision-Making Division  </w:t>
        <w:br/>
        <w:t xml:space="preserve">B 3 – 64/12  </w:t>
        <w:br/>
        <w:t xml:space="preserve">MERGER CONTROL PROCEEDINGS  </w:t>
        <w:br/>
        <w:t xml:space="preserve">ORDER PURSUANT TO § 40 PARA. 2 GWB  </w:t>
        <w:br/>
        <w:t xml:space="preserve">- Public Version -  </w:t>
        <w:br/>
        <w:t xml:space="preserve">Decision  </w:t>
        <w:br/>
        <w:t xml:space="preserve">In the administrative proceedings  </w:t>
        <w:br/>
        <w:t xml:space="preserve">1. Lenzing AG  </w:t>
        <w:br/>
        <w:t xml:space="preserve">Werkstraße 2  </w:t>
        <w:br/>
        <w:t xml:space="preserve">4860 Lenzing  </w:t>
        <w:br/>
        <w:t xml:space="preserve">Austria  </w:t>
        <w:br/>
        <w:t xml:space="preserve">- Party 1 -  </w:t>
        <w:br/>
        <w:t xml:space="preserve">2. Kelheim Hygiene Fibres GmbH  </w:t>
        <w:br/>
        <w:t xml:space="preserve">Regensburger Straße 109  </w:t>
        <w:br/>
        <w:t xml:space="preserve">93309 Kelheim  </w:t>
        <w:br/>
        <w:t xml:space="preserve">- Party 2 -  </w:t>
        <w:br/>
        <w:t xml:space="preserve">Legal representatives for Parties 1 and 2:  </w:t>
        <w:br/>
        <w:t xml:space="preserve">Jacobsen Rechtsanwälte  </w:t>
        <w:br/>
        <w:t xml:space="preserve">Kay Henning Jacobsen, Uwe Wellmann,  </w:t>
        <w:br/>
        <w:t xml:space="preserve">Wolf J. Reuter  </w:t>
        <w:br/>
        <w:t xml:space="preserve">Kurfürstendamm 188 - 189  </w:t>
        <w:br/>
        <w:t>10707 Berlin</w:t>
      </w:r>
    </w:p>
    <w:p>
      <w:r>
        <w:t xml:space="preserve">- 2 -  </w:t>
        <w:br/>
        <w:t xml:space="preserve">regarding the examination of a merger project pursuant to § 36 of the Act against Restraints of Competition (GWB), the 3rd Decision-Making Division of the Federal Cartel Office has decided on November 22, 2012:  </w:t>
        <w:br/>
        <w:t xml:space="preserve">I. The merger project notified by letter dated May 24, 2012, concerning the acquisition of 90% of Kelheim Hygiene Fibres GmbH, Kelheim, by Lenzing AG, Lenzing, Austria, is prohibited.  </w:t>
        <w:br/>
        <w:t>II. The fee of […] is set and imposed on Party 1.</w:t>
      </w:r>
    </w:p>
    <w:p>
      <w:r>
        <w:t xml:space="preserve">- 3 -  </w:t>
        <w:br/>
        <w:t xml:space="preserve">A. FACTS  </w:t>
        <w:br/>
        <w:t xml:space="preserve">I. The Project  </w:t>
        <w:br/>
        <w:t xml:space="preserve">1  </w:t>
        <w:br/>
        <w:t xml:space="preserve">Party 1 (Lenzing) intends to acquire 90% of the shares of Party 2 (Kelheim). The seller of the shares, which will also retain ownership of the remaining 10% of the shares, is Kelheim Fibres GmbH, Kelheim.  </w:t>
        <w:br/>
        <w:t xml:space="preserve">II. The Companies Involved in the Merger  </w:t>
        <w:br/>
        <w:t xml:space="preserve">1. Lenzing AG  </w:t>
        <w:br/>
        <w:t xml:space="preserve">2  </w:t>
        <w:br/>
        <w:t xml:space="preserve">Lenzing AG is the parent company of the Lenzing Group, which includes numerous companies that produce high-quality industrially manufactured cellulose fibers. The range includes fiber pulp, standard and specialty cellulose fibers, as well as plastic polymer products and engineering services. At the Lenzing site, viscose fibers for the production of tampons are produced, among other things.  </w:t>
        <w:br/>
        <w:t xml:space="preserve">3  </w:t>
        <w:br/>
        <w:t xml:space="preserve">Lenzing AG is part of B&amp;C Industrieholding GmbH, Vienna, Austria, which in turn is owned by B&amp;C Privatstiftung, Vienna, Austria. B&amp;C Industrieholding holds a 67.6% stake in Lenzing, as well as a 54.2% stake in Semperit Holding AG and various minority interests. None of the other holdings operate in Lenzing's business area. The attributable total revenues of B&amp;C Industrieholding or B&amp;C Privatstiftung amounted to approximately […] billion € worldwide, approximately […] billion € in Europe, and approximately […] million € in Germany in 2011.  </w:t>
        <w:br/>
        <w:t xml:space="preserve">2. Kelheim Hygiene Fibres GmbH  </w:t>
        <w:br/>
        <w:t xml:space="preserve">4  </w:t>
        <w:br/>
        <w:t>Kelheim operates the so-called tampon business of the Kelheim Group. There, the fiber material for the production of tampons is consolidated. The seller of the shares is Kelheim Fibres GmbH, Kelheim, which will retain a 10% stake in Kelheim after the merger. The remaining minority stake is not associated with merger control-relevant influence possibilities. The parent company of Kelheim Fibres GmbH is EQUI Fibres Beteiligungsgesellschaft mbH, Kelheim, in which Lenzing holds a 45% stake. According to the applicant's information, Kelheim generated revenues in 2011 amounting to</w:t>
      </w:r>
    </w:p>
    <w:p>
      <w:r>
        <w:rPr>
          <w:b/>
        </w:rPr>
        <w:t>[Pages 4–6]</w:t>
      </w:r>
    </w:p>
    <w:p>
      <w:r>
        <w:t>- 4 -</w:t>
        <w:br/>
        <w:t>amounting to nearly [...] million € worldwide, approximately [...] million € in Europe, and revenues amounting to [...] million € in Germany.1</w:t>
      </w:r>
    </w:p>
    <w:p>
      <w:r>
        <w:t>III. Proceedings</w:t>
      </w:r>
    </w:p>
    <w:p>
      <w:r>
        <w:t>5</w:t>
        <w:br/>
        <w:t>By letter dated May 24, 2012, received on May 29, 2012, the intended acquisition of 90% of the shares in Kelheim by Lenzing was notified by the legal representative of the parties involved, 1 and 2, on behalf of Lenzing. The notification was completed by letter dated August 17, 2012, received on August 20, 2012, with the designation of sales revenues pursuant to § 39 para. 3 no. 3 GWB for the affiliated companies attributable to B&amp;C Industrieholding pursuant to § 36 para. 2 GWB.</w:t>
      </w:r>
    </w:p>
    <w:p>
      <w:r>
        <w:t>6</w:t>
        <w:br/>
        <w:t>By letter dated June 28, 2012, delivered on the same day, the legal representative of the parties involved in the merger was informed pursuant to § 40 para. 1 GWB that the decision-making division had entered into the main examination procedure.</w:t>
      </w:r>
    </w:p>
    <w:p>
      <w:r>
        <w:t>7</w:t>
        <w:br/>
        <w:t>By letter dated August 27, 2012, a total of eight important customers of Lenzing and Kelheim were surveyed regarding the merger. Responses have been received from six customers, accounting for approximately 2/3 of the worldwide sales of Lenzing and Kelheim. Responses from all domestic customers supplied by the parties involved in the merger are complete. On September 24, 2012, the decision-making division held a discussion with [...], attended by a representative of the local plant management [...] as well as the central procurement office in Switzerland. At [...], the central procurement office in Switzerland conducts the contract negotiations with the viscose fiber manufacturers, and the delivery of the viscose fibers occurs directly from the manufacturers to the national plants of [...]. On October 2, 2012, two manufacturers of cotton tampon fiber material in the USA and Turkey were surveyed in writing regarding the merger. Responses have been received from both.</w:t>
      </w:r>
    </w:p>
    <w:p>
      <w:r>
        <w:t>8</w:t>
        <w:br/>
        <w:t>This notification was preceded by a precautionary notification of the same merger in August 2011 (B 3 – 105/11), in which the applicants assumed the existence of a minor market. However, this notification was withdrawn after the decision-making division indicated that, in its opinion, the market affected by the merger for tampon fiber material in the domestic market has a market volume of more than 15 million €. In the subsequent legal dispute, the Higher Regional Court of Düsseldorf confirmed that in case of doubts regarding the notification obligation, a notification is mandatory, as minor market relevance can only be verified in the merger control procedure.2</w:t>
      </w:r>
    </w:p>
    <w:p>
      <w:r>
        <w:t>9</w:t>
        <w:br/>
        <w:t>The parties involved in the merger and the Bavarian State Cartel Authority were sent a draft of this decision by letter dated October 30, 2012, and were given the opportunity to comment on it by November 16, 2012. The Bavarian State Cartel Authority did not provide any comments. The parties involved in the merger submitted their comments through their legal representative by letter dated November 15, 2012. They object without further elaboration that there was no discussion as to whether a distinction should be made between Galaxy quality and standard fiber material. The further presentation is limited to statements that the decision-making division did not establish a sufficient market reference. Competition occurs around the purchaser based in Switzerland. It is therefore irrelevant that information with competitive relevance flows from the German plant to this purchaser. An allocation of the revenues generated with [...] to the domestic market volume is not possible, and the domestic market volume is below 15 million €.</w:t>
      </w:r>
    </w:p>
    <w:p>
      <w:r>
        <w:t>B. CONDITIONS FOR PROHIBITION</w:t>
      </w:r>
    </w:p>
    <w:p>
      <w:r>
        <w:t>I. Formal Conditions for Prohibition</w:t>
      </w:r>
    </w:p>
    <w:p>
      <w:r>
        <w:t>1. Applicability of the GWB</w:t>
        <w:br/>
        <w:t>10</w:t>
        <w:br/>
        <w:t>The merger project falls within the scope of the GWB. It has an effect pursuant to § 130 para. 2 GWB in the domestic market. The target company is based in the domestic market, and both parties involved in the merger generate revenues with tampon fiber material in the domestic market.</w:t>
      </w:r>
    </w:p>
    <w:p>
      <w:r>
        <w:t>2. Merger Statute</w:t>
        <w:br/>
        <w:t>11</w:t>
        <w:br/>
        <w:t>The acquisition of 90% of the shares in Kelheim by Lenzing fulfills the merger statutes of § 37 para. 1 no. 2 and no. 3 a) GWB.</w:t>
      </w:r>
    </w:p>
    <w:p>
      <w:r>
        <w:t>12</w:t>
        <w:br/>
        <w:t>Lenzing is already holding 45% in the indirect parent company of Kelheim, EQUI Fibres Beteiligungsgesellschaft mbH. According to the information provided by the legal representative, there is currently neither control nor joint control associated with this.3 The sole acquisition of control and the crossing of the share threshold of 50% represent a significant strengthening of the existing corporate connection in the sense of § 37 para. 2 GWB.</w:t>
      </w:r>
    </w:p>
    <w:p>
      <w:r>
        <w:t>3. No Community-Wide Significance</w:t>
        <w:br/>
        <w:t>13</w:t>
        <w:br/>
        <w:t>The merger has no community-wide significance. According to Art. 1 para. 2 lit. a) and para. 3 lit. d) of Regulation (EC) No. 139/2004 of the Council of January 20, 2004, on the control of concentrations between undertakings (EC Merger Regulation), the applicability of European merger control is not applicable, as the community-wide revenue of Kelheim is below 100 million €.</w:t>
      </w:r>
    </w:p>
    <w:p>
      <w:r>
        <w:t>4. Exceeding the Revenue Thresholds of § 35 para. 1 GWB</w:t>
        <w:br/>
        <w:t>14</w:t>
        <w:br/>
        <w:t>The merger is subject to control, as the involved companies – including those connected to them pursuant to § 36 para. 2 GWB – exceed the revenue thresholds of § 35 para. 1 GWB. Lenzing generated revenues of over 500 million € worldwide in 2011, including all affiliated companies, and domestic revenues of more than 25 million €. The revenues of Kelheim in the domestic market amount to at least [...] million €, exceeding the threshold of 5 million €.</w:t>
      </w:r>
    </w:p>
    <w:p>
      <w:r>
        <w:t>5. Exceeding the Revenue Thresholds of § 35 para. 2 GWB</w:t>
        <w:br/>
        <w:t>15</w:t>
        <w:br/>
        <w:t>The conditions of § 35 para. 2 no. 1 GWB are not met. The merger does not affect a market with a volume below 15 million € in Germany. Therefore, the project falls within the scope of merger control.</w:t>
      </w:r>
    </w:p>
    <w:p>
      <w:r>
        <w:rPr>
          <w:b/>
        </w:rPr>
        <w:t>[Pages 7–9]</w:t>
      </w:r>
    </w:p>
    <w:p>
      <w:r>
        <w:t>- 7 -</w:t>
        <w:br/>
        <w:t>a. Presentation of the parties involved in the merger</w:t>
      </w:r>
    </w:p>
    <w:p>
      <w:r>
        <w:t>16</w:t>
        <w:br/>
        <w:t>It is stated that the domestic revenues of the parties involved in the merger in the market for the production of tampon fiber material amount to approximately […] million € (Kelheim) and […] million € (Lenzing). These are revenues generated exclusively with customers who also have their registered office in Germany and for whom the delivery and billing addresses match. Other suppliers do not supply the German market with viscose fibers. In addition to the viscose fibers, deliveries of cotton fibers for tampons, primarily from Barnhardt, USA, amounting to approximately […] million €, should be considered. In total, the domestic market volume would thus be around […] million €.</w:t>
      </w:r>
    </w:p>
    <w:p>
      <w:r>
        <w:t>17</w:t>
        <w:br/>
        <w:t>The revenues generated by the parties involved in the merger with tampon fiber material amounting to more than […] million € in 2011, which were associated with direct deliveries of the material to the production site […], cannot be attributed to the domestic market volume, as the negotiation of the supply contracts and thus the quantities and prices of the deliveries occur exclusively with the central procurement office of […] in Switzerland. In determining the geographical allocation of revenues, both according to the wording of § 35 Abs. 2 Nr. 2 GWB and according to the Consolidated Communication of the Commission on jurisdictional issues,4 the market should be considered as the place where competition for the customer takes place. However, in this case, the plant […] does not exert competitive impulses to a relevant extent that would influence the awarding of contracts regarding quantity and price. Therefore, the revenues from Switzerland should be attributed.</w:t>
      </w:r>
    </w:p>
    <w:p>
      <w:r>
        <w:t>b. Results of the investigation</w:t>
      </w:r>
    </w:p>
    <w:p>
      <w:r>
        <w:t>18</w:t>
        <w:br/>
        <w:t>The decision-making division has verified the actual procurement behavior by surveying the customers. Responses were received from the companies Hygiene Oederan, Oederan; Ontex, Großpostwitz; Tosama, Slovenia; Johnson &amp; Johnson, Belgium; Procter &amp; Gamble, Switzerland; and Kimberly-Clark, UK.5 They were asked, among other things, what influence their tampon production sites, if they are geographically separate from the central purchasing organization, have on the purchasing decision and what information flows between the production site and the purchasing organization in connection with purchasing negotiations. With the exception of […] and […], where the location of production and procurement is identical, all other respondents have a central procurement office that is not located in Germany. […] and […] operate plants in Germany.</w:t>
      </w:r>
    </w:p>
    <w:p>
      <w:r>
        <w:t>19</w:t>
        <w:br/>
        <w:t>All four customers of tampon fiber material, where the location of production and central procurement differ, unanimously stated that all evaluations regarding product quality, reliability of suppliers, and the overall supplier-customer relationship are conducted by the local production sites. These are also responsible for supplier ratings. All supplier-related information is forwarded to the central procurement offices. […] further indicated that orders are placed by the local purchasing teams of the production site with the support of the regional purchasing organization in negotiating framework agreements. All exchanges regarding the technical aspects of the purchasing decision, such as reliability, product quality, and other manufacturing-related aspects, take place directly between the plants and the suppliers. […] stated that the […] is involved in purchasing as a competence center for tampons and also conducts periodic supplier evaluations on behalf of the corporate headquarters.</w:t>
      </w:r>
    </w:p>
    <w:p>
      <w:r>
        <w:t>20</w:t>
        <w:br/>
        <w:t>Additionally, the customers were asked how they evaluate their suppliers based on the criteria of product quality, innovation capability, production capacities, punctuality, and price. The evaluation was conducted on a scale from one to five, where one stood for "very good" and five for "very poor." In parallel, they were asked how important the specified criteria were to them, again on a scale from one to five, where one stood for "very important" and five for "irrelevant." With high agreement (rating one or two), the criteria of product quality, punctuality, and price were indicated as important. Other important evaluation criteria for the customers that were not queried were not named.</w:t>
      </w:r>
    </w:p>
    <w:p>
      <w:r>
        <w:t>c. Legal and factual assessment</w:t>
      </w:r>
    </w:p>
    <w:p>
      <w:r>
        <w:t>21</w:t>
        <w:br/>
        <w:t>The GWB requires companies involved in mergers to differentiate their revenues regionally in §§ 35 and 39, but it does not specify how the geographical allocation of revenues should be carried out. § 38 GWB also contains no provisions regarding this.</w:t>
      </w:r>
    </w:p>
    <w:p>
      <w:r>
        <w:t>- 9 -</w:t>
        <w:br/>
        <w:t>22</w:t>
        <w:br/>
        <w:t>The prevailing opinion in commentary considers the location of the purchaser to be decisive for the geographic allocation of turnover and additionally refers to Art. 5 para. 1 sentence 3 of the EC Merger Regulation.6 Since the geographically differentiated thresholds of § 35 GWB serve both to establish the jurisdiction of the Federal Cartel Office and to clearly delineate jurisdiction from the EU Commission, the decision-making division also believes there is much to be said for carrying out the geographic allocation of turnover according to uniform criteria and, in this respect, to analogously apply the provisions of Art. 5 of the EC Merger Regulation. It should also be considered that quantitative "triggering criteria" (§ 35 GWB or Art. 1 EC Merger Regulation) must be able to be clearly determined by the parties involved in the merger without great difficulty.7</w:t>
      </w:r>
    </w:p>
    <w:p>
      <w:r>
        <w:t>23</w:t>
        <w:br/>
        <w:t>Art. 5 para. 1 sentence 3 of the EC Merger Regulation states: "The turnover achieved in the Community or in a Member State includes the turnover generated with goods or services for companies or consumers in the Community or in that Member State." The regional allocation of turnover is therefore based on the purchaser, regardless of the location of the supplier of the goods or services. Because competition for the customer usually takes place at the location of the purchaser.8 Since there are numerous scenarios in which the delivery location and the billing address differ (e.g., orders via the internet or telephone, central procurement by corporations), the EU Commission has provided further explanations on the geographical allocation of turnover in these cases in its Consolidated Communication (a.a.O.). It explicitly includes the present case, namely the central purchasing of a multinational company that pursues a community-wide purchasing strategy and procures its entire need for a product from a single location. According to the Consolidated Communication, in all cases where purchasing is centralized, but delivery goes directly from the supplier to the respective national subsidiaries, the allocation of turnover is national, i.e., at the delivery location. This should occur regardless of whether the national subsidiary places orders itself based on a framework agreement or whether the orders are placed through the central procurement office.</w:t>
      </w:r>
    </w:p>
    <w:p>
      <w:r>
        <w:rPr>
          <w:b/>
        </w:rPr>
        <w:t>[Pages 10–12]</w:t>
      </w:r>
    </w:p>
    <w:p>
      <w:r>
        <w:t>- 10 -</w:t>
        <w:br/>
        <w:t>central purchasing organization is to be granted.9 The reason in both cases is that there is competition among suppliers for the delivery of goods to the various subsidiaries (delivery of the goods as a characteristic contractual act).</w:t>
      </w:r>
    </w:p>
    <w:p>
      <w:r>
        <w:t>24</w:t>
        <w:br/>
        <w:t>This interpretation of Art. 5 para. 1 sentence 3 of the EC Merger Regulation is to be agreed upon. Any other handling would lead to geographic allocations of turnover that do not correspond to the economic and competitive reality. In the present case, for example, the turnover would, according to the interpretation of the parties involved in the merger, be attributed to Switzerland. However, there is no delivery and use of tampon fiber material taking place there. The material is intended for companies in Germany. Relying on the billing location could lead to a merger being subject to Swiss merger control, even though it has no real economic relevance there, while it is not subject to notification in Germany, even though a large part of the deliveries negotiated in Switzerland goes to Germany. Another – hypothetical – example of the unrealistic results of a turnover allocation, as the parties involved in the merger consider correct, would be the case where all German automobile manufacturers relocate their Europe-wide central purchasing to, for example, Luxembourg. Then all automotive supply markets would be trivial markets in the sense of the GWB. This example clearly illustrates that this does not reflect either the economic or the competitive reality. In fact, it is the practice of the Federal Cartel Office to allocate turnover geographically to the respective supplying countries in supplier cases. Supplier revenues centrally negotiated with VW in Wolfsburg that are associated with direct deliveries to plants in Spain would therefore not be considered German but Spanish revenues. Consequently, in line with the interpretation of the Commission and the application practice of the Federal Cartel Office, a national allocation of turnover is required – but also sufficient – that the deliveries of goods occur directly from the manufacturer to the national plant.</w:t>
      </w:r>
    </w:p>
    <w:p>
      <w:r>
        <w:t>25</w:t>
        <w:br/>
        <w:t>Furthermore, competition actually takes place for the deliveries to the respective national locations/plants. It is irrelevant whether the order is placed and paid for from another country. The processing plant is in a real supply relationship and possesses knowledge about the quality, reliability, and service readiness of a supplier and its competitors. Central procurement occurs based on this knowledge. On the other hand, the supplier must also manage its daily business relationships with the national plants, and the competitiveness of its offer is specifically influenced by the perception of the quality of the deliveries by the plants. The investigations strongly support this. Two of the three criteria considered important for supplier evaluation, namely product quality and punctuality, are criteria that the local plants evaluate and forward to the central procurement offices. Only one of the three important criteria, price, is primarily evaluated and negotiated by the central procurement office. All four of the surveyed companies, where the delivery location and central procurement are spatially separated, confirmed that the plants play an important role in the procurement process. The applicants themselves submitted a note from an employee stating: “Should ongoing quality problems lead to constantly recurring or persistent issues with tampon quality or to problems in production that significantly negatively affect the results of the respective plant, the plant is naturally entitled to propose to the purchasing and central development to procure an alternative fiber.”10 […] and […], both of which have plants domestically, further stated that periodic supplier evaluations are conducted by the national plants. In summary, there is thus a sufficient competitive relevance – as far as it is even necessary – of the national deliveries or supplier/plant contacts. Against this background, the statement of the applicants: “Competitive impulses, even to a relevant extent, do not emanate from the plant […] regarding these orders.” is surprising. The opposite is the case.</w:t>
      </w:r>
    </w:p>
    <w:p>
      <w:r>
        <w:t>26</w:t>
        <w:br/>
        <w:t>The objection of the parties involved in the merger that there is no competition for the orders at the delivery location of the goods and therefore there is no market is based on a self-chosen and one-dimensional definition of the concept of the market. Generally, however, “market” is understood as the place where supply and demand meet, and this undoubtedly also includes the actual flows of goods, which in this case – supply – flow directly from Lenzing or Kelheim to – demand – the processing plants of the customers in Germany. The important role of these plants in the procurement decision has been demonstrated (see para. 25).</w:t>
      </w:r>
    </w:p>
    <w:p>
      <w:r>
        <w:t>10 Note from Mr. Matthew North “Influence of Fiber Quality on the Purchasing Behavior of […]” dated October 16, 2012, submitted by the legal representative on October 17, 2012.</w:t>
      </w:r>
    </w:p>
    <w:p>
      <w:r>
        <w:t>- 12 -</w:t>
        <w:br/>
        <w:t>27</w:t>
        <w:br/>
        <w:t>Finally, there is a strong case for a geographic allocation of turnover in accordance with the considerations of the Commission in the Consolidated Communication, as in all cases of direct supply to the respective national plants of a centrally procuring multinational customer, the regional distribution of turnover can be reliably and directly determined by the directly supplying supplier without difficulty. This serves legal certainty and is an important aspect when it comes to turnover-related thresholds, as are the triggering criteria under § 35 GWB or Art. 1 of the EC Merger Regulation (see BGH, loc. cit.).</w:t>
      </w:r>
    </w:p>
    <w:p>
      <w:r>
        <w:t>28</w:t>
        <w:br/>
        <w:t>The regional allocation of turnover according to the provisions of the EC Merger Regulation does not primarily serve the material assessment, but solely the formal justification of jurisdiction and notification obligation. For the material examination, the type of geographic allocation of turnover is irrelevant, does not contradict a geographically broader or possibly also narrower market definition, and does not prejudge it.</w:t>
      </w:r>
    </w:p>
    <w:p>
      <w:r>
        <w:t>29</w:t>
        <w:br/>
        <w:t>The national allocation of the turnover attributable to the deliveries to the plant of […] in […] and the plant […] of […] by the parties involved in the merger does not contradict the purpose and intent of the trivial market clause of § 35 para. 2 no. 2 GWB and the relevant BGH case law (BGH, Sulzer/Kelmix, loc. cit.). In its decision, the BGH stated that for the purposes of determining the market volume in the context of the examination under § 35 para. 2 no. 2 GWB, it is not the economically relevant market that is to be considered, but only the revenues generated domestically in the sense of a normative market definition. However, the decision does not provide any indication of how the domestic revenues are to be determined. But that is precisely what is at issue here. If one considers the purpose and intent of the legislator, the trivial market clause is intended to prevent a merger from being prohibited, even though its effects in Germany are only marginal (BGH, loc. cit., para. 17). In fact, in the present case, goods, here tampon fiber material, are sold and processed directly in Germany to an extent of at least 20 million € and the relevant threshold of 15 million € is clearly exceeded.</w:t>
      </w:r>
    </w:p>
    <w:p>
      <w:r>
        <w:t>II. Substantive Conditions for Prohibition</w:t>
      </w:r>
    </w:p>
    <w:p>
      <w:r>
        <w:t>30</w:t>
        <w:br/>
        <w:t>According to § 36 para. 1 GWB, a merger that is expected to establish or strengthen a dominant market position is to be prohibited by the Federal Cartel Office, unless the participating companies demonstrate that through the</w:t>
      </w:r>
    </w:p>
    <w:p>
      <w:r>
        <w:rPr>
          <w:b/>
        </w:rPr>
        <w:t>[Pages 13–15]</w:t>
      </w:r>
    </w:p>
    <w:p>
      <w:r>
        <w:t>- 13 -</w:t>
        <w:br/>
        <w:t>merger also leads to improvements in competitive conditions and that these improvements outweigh the disadvantages of market dominance. It is expected that the merger will establish or strengthen the dominant market position of the parties involved in the merger or Kelheim in the at least Europe-wide market for viscose fiber material for tampons. A monopoly will be created in the market for viscose fiber material for tampons.</w:t>
      </w:r>
    </w:p>
    <w:p>
      <w:r>
        <w:t>1. Relevant Product Market</w:t>
        <w:br/>
        <w:t>31</w:t>
        <w:br/>
        <w:t>According to the demand market concept, products belong to the same relevant market if they are interchangeable from the perspective of the market counterpart in terms of their characteristics, prices, and intended use, as they are suitable for satisfying the same need. Such functionally interchangeable goods or services are market-equivalent and form a distinct relevant product market.11 The relevant market is delineated by product groups that meet a typified demand and for whose development, production, and trade comparable know-how and similar manufacturing or trading facilities can be utilized.</w:t>
      </w:r>
    </w:p>
    <w:p>
      <w:r>
        <w:t>32</w:t>
        <w:br/>
        <w:t>The parties involved in the merger produce viscose fibers for the manufacture of tampons and assume that fiber material for the production of tampons constitutes the relevant product market. They include both viscose and cotton fibers in this regard. The purchasers of the fibers are the manufacturers of tampons, who weave the fiber material into a thin fleece and then wrap and shape the tampon body from it.</w:t>
      </w:r>
    </w:p>
    <w:p>
      <w:r>
        <w:t>33</w:t>
        <w:br/>
        <w:t>Tampons are made from both viscose and cotton, as well as from mixtures of the materials. According to investigations, viscose is predominantly used. The advantage of viscose over cotton is that viscose fibers are produced in a technically controlled process, and the fiber properties are more consistent than with a natural product. Tampons must meet certain absorption properties; therefore, variations in fiber absorption pose a quality risk. The fiber cross-section of viscose fibers can be influenced, achieving better and more consistent absorbency. Cotton fibers exhibit chemical contamination risks and color deviations due to fertilization and cleaning processes.</w:t>
      </w:r>
    </w:p>
    <w:p>
      <w:r>
        <w:t>- 14 -</w:t>
        <w:br/>
        <w:t>Within the viscose fibers for tampons, there are different qualities. For instance, Kelheim produces a premium product under the brand "Galaxy." This is characterized by a trilobal fiber structure, which increases absorbency compared to the standard fiber by 10 – 15%. Lenzing only produces standard quality, while Kelheim produces both qualities. Fiber material for tampons is not used for other hygiene products such as sanitary pads, diapers, or incontinence products. Since the early 1990s, viscose has no longer been used in sanitary pads, and the replacement for diapers and incontinence products occurred even earlier. The products used there are cellulose and superabsorbent polymers.</w:t>
      </w:r>
    </w:p>
    <w:p>
      <w:r>
        <w:t>34</w:t>
        <w:br/>
        <w:t>The investigations have shown that from the demand side, cotton fibers for tampons and viscose fibers for tampons are not interchangeable. Due to the aforementioned product characteristics, the overwhelming majority of the surveyed manufacturers fundamentally reject the use of cotton. According to the consistent statements of the surveyed purchasers, viscose is the standard material for tampon production. Only two of the surveyed manufacturers currently use cotton in a mix with viscose fiber in tampon production. A switch to cotton would involve fundamental changes to the product, require new regulatory approvals and supplier certifications, and adjustments in the production process.</w:t>
      </w:r>
    </w:p>
    <w:p>
      <w:r>
        <w:t>35</w:t>
        <w:br/>
        <w:t>Viscose fibers for other applications are not interchangeable with viscose fibers for tampons. The production facilities for other viscose fibers could only be utilized for the production of tampon viscose with significant conversion costs. Purchasers confirmed that viscose fibers, for example, for textile applications are not usable. Due to special requirements for the purity of the materials and the high absorption capacity, such fibers cannot be used, and their manufacturers are also unable to offer them. This aligns with the statements of the applicants, who are also manufacturers of viscose fibers for other applications such as textiles or wipes. According to this, a manufacturer of viscose fibers of a different kind would need to invest approximately 19 – 64 million € to be able to produce tampon viscose. This would be considered uneconomical by the parties involved in the merger, primarily due to the limited market size.12</w:t>
      </w:r>
    </w:p>
    <w:p>
      <w:r>
        <w:t>12 See letter from the legal representative dated July 13, 2012.</w:t>
      </w:r>
    </w:p>
    <w:p>
      <w:r>
        <w:t>- 15 -</w:t>
        <w:br/>
        <w:t>36</w:t>
        <w:br/>
        <w:t>Within the market for viscose fibers for tampons, there are two different qualities: standard viscose fiber and Galaxy fiber. The Galaxy fiber has a special trilobal structure that significantly increases absorbency compared to standard viscose. Galaxy is exclusively produced by Kelheim and is a product protected by patent in North America until 2018. A separation into different relevant product markets does not appear appropriate, even though the responses from purchasers are inconsistent in this regard. Some purchasers clearly emphasize the quality differences and see a significant differentiation. Others see no need for differentiation because interchangeability exists and the product characteristics are comparable. In fact, with one exception, all surveyed manufacturers use both standard and Galaxy viscose. Kelheim produces both qualities, while Lenzing only produces standard viscose. However, it can be assumed that Lenzing could start producing trilobal fibers with the existing production facilities without significant conversion problems and costs. This would only require special nozzles and an additive system for the coagulation bath, which could be added to the existing production facilities for tampon viscose at minimal additional costs.13 The products of the parties involved in the merger are in close competition with each other. Therefore, a single relevant product market for viscose fibers for tampons should be assumed.</w:t>
      </w:r>
    </w:p>
    <w:p>
      <w:r>
        <w:t>37</w:t>
        <w:br/>
        <w:t>This aligns with the findings of the European Commission's investigation in the CVC/Lenzing case in 2001, COMP/M.2187. The decision also concludes in paragraph 96 et seq. that viscose fibers for tampons form a distinct relevant product market, to which cotton and other hygiene fibers do not belong, and in which manufacturers of other viscose fibers cannot enter at any time.</w:t>
      </w:r>
    </w:p>
    <w:p>
      <w:r>
        <w:t>2. Relevant Geographic Market</w:t>
        <w:br/>
        <w:t>38</w:t>
        <w:br/>
        <w:t>The relevant geographic market for viscose fibers for tampons is at least Europe-wide. All surveyed purchasers cover the demand for the production of all their plants in Europe, including Lenzing and Kelheim. No other production capacities outside Europe are known, and there are significant concerns regarding the reliability, speed, and quality of potential sources from other world regions.13</w:t>
      </w:r>
    </w:p>
    <w:p>
      <w:r>
        <w:t>13 See letter from the legal representative dated July 13, 2012, Annex 2.</w:t>
      </w:r>
    </w:p>
    <w:p>
      <w:r>
        <w:rPr>
          <w:b/>
        </w:rPr>
        <w:t>[Pages 16–18]</w:t>
      </w:r>
    </w:p>
    <w:p>
      <w:r>
        <w:t>- 16 -</w:t>
        <w:br/>
        <w:t>contamination risks have been expressed. Ultimately, it can be left open whether the market may be defined more broadly; the competitive assessment would remain unchanged.</w:t>
      </w:r>
    </w:p>
    <w:p>
      <w:r>
        <w:t>3. Creation or strengthening of a dominant market position</w:t>
      </w:r>
    </w:p>
    <w:p>
      <w:r>
        <w:t>39</w:t>
        <w:br/>
        <w:t>The merger strengthens Kelheim's dominant market position or alternatively establishes a dominant position for the parties involved in the merger. A monopoly is created.</w:t>
      </w:r>
    </w:p>
    <w:p>
      <w:r>
        <w:t>3.1 Market Shares</w:t>
      </w:r>
    </w:p>
    <w:p>
      <w:r>
        <w:t>40</w:t>
        <w:br/>
        <w:t>The market shares of the parties involved in the merger in the market for viscose fibers for tampons are distributed as follows:</w:t>
      </w:r>
    </w:p>
    <w:p>
      <w:r>
        <w:t>Table 1:</w:t>
        <w:br/>
        <w:t>Market Shares Germany EEA + Worldwide</w:t>
        <w:br/>
        <w:t>2011 on the basis of Switzerland</w:t>
        <w:br/>
        <w:t>Sales</w:t>
        <w:br/>
        <w:t>Lenzing 20 - 30 % 10 - 20 % 10 - 20 %</w:t>
        <w:br/>
        <w:t>Kelheim 70 - 80 % 80 - 90 % 80 - 90 %</w:t>
        <w:br/>
        <w:t>Total 100 % 100 % 100 %</w:t>
        <w:br/>
        <w:t>Market Volume 20,000 – 45,000 – 85,000 –</w:t>
        <w:br/>
        <w:t>in thousand € in 25,000 50,000 90,000</w:t>
        <w:br/>
        <w:t>2011</w:t>
      </w:r>
    </w:p>
    <w:p>
      <w:r>
        <w:t>41</w:t>
        <w:br/>
        <w:t>Competitors could not be identified. Neither the parties involved in the merger nor their customers were able to name other sources for viscose fibers for tampons. There are also no other manufacturers of viscose fibers for tampons from whom the surveyed customers have sourced such fibers in the last five years (since 2007). This applies to the worldwide sourcing of the surveyed customers.</w:t>
      </w:r>
    </w:p>
    <w:p>
      <w:r>
        <w:t>- 17 -</w:t>
        <w:br/>
        <w:t>42</w:t>
        <w:br/>
        <w:t>If tampon fibers made from cotton were included in the market, the following market share distribution would result based on the available data:</w:t>
      </w:r>
    </w:p>
    <w:p>
      <w:r>
        <w:t>Table 2:</w:t>
        <w:br/>
        <w:t>Market Shares Germany EEA + Worldwide</w:t>
        <w:br/>
        <w:t>2011 on the basis of Switzerland</w:t>
        <w:br/>
        <w:t>Sales</w:t>
        <w:br/>
        <w:t>in t</w:t>
        <w:br/>
        <w:t>Lenzing 15 - 20 % 15 - 20 % 15 - 20 %</w:t>
        <w:br/>
        <w:t>Kelheim 80 - 85 % 70 - 75 % 70 - 75 %</w:t>
        <w:br/>
        <w:t>Aslanli, Turkey 0 – 5 % 0 – 5 % 0 – 5 %</w:t>
        <w:br/>
        <w:t>Barnhardt, USA 0 – 5 % 0 – 5 % 10 - 15 %</w:t>
        <w:br/>
        <w:t>Market Volume 10 - 20 20 - 30 40 - 50</w:t>
        <w:br/>
        <w:t>in thousand t in 2011</w:t>
      </w:r>
    </w:p>
    <w:p>
      <w:r>
        <w:t>43</w:t>
        <w:br/>
        <w:t>Other manufacturers of tampon fibers could not be identified.</w:t>
      </w:r>
    </w:p>
    <w:p>
      <w:r>
        <w:t>44</w:t>
        <w:br/>
        <w:t>Based on the appropriate market definition of a relevant market for viscose tampon fibers, the market share of the parties involved in the merger is 100% based on the three listed regional delineations. The already very high market shares of Kelheim suggest that Kelheim already held a dominant position prior to the merger. This market position would be strengthened by the merger with Lenzing and thus the elimination of the only competitor. The strengthening and the associated deterrent effects are also significant and clearly exceed the required strengthening effect.14 Even if Kelheim were not dominant prior to the merger, because there may have been a high competitive control potential from Lenzing, the elimination of the only competitor would certainly lead to the emergence of a dominant, monopolistic market position for the new entity.</w:t>
      </w:r>
    </w:p>
    <w:p>
      <w:r>
        <w:t>45</w:t>
        <w:br/>
        <w:t>Including cotton tampon fibers does not lead to a different result. The market shares of the parties involved in the merger amount to at least 85% after the merger. The market share gap to the next competitor is at least 70 percentage points.</w:t>
      </w:r>
    </w:p>
    <w:p>
      <w:r>
        <w:t>3.2 No Alternatives for Buyers</w:t>
      </w:r>
    </w:p>
    <w:p>
      <w:r>
        <w:t>46</w:t>
        <w:br/>
        <w:t>No current or potential competitors of the parties involved in the merger could be identified. Alternative manufacturers of viscose tampon fibers are unknown to any of the surveyed market participants. Market entries are not apparent. The parties involved in the merger have convincingly explained why the transition from the production of conventional viscose fiber for other applications to the production of tampon viscose is not economically viable, thereby indicating that the barriers to market entry are high. Additionally, buyers have stated that there are significant concerns regarding quality, reliability, purity of goods, and compliance with regulatory requirements concerning potential suppliers from outside the EEA, without being able to name such potential suppliers. In the past, there has only been one market exit and no market entries. In the Commission decision CVC/Lenzing (a.a.O.), the competitor Svenska Rayon is still mentioned with a market share of less than 20% in the European market for tampon viscose. This competitor is no longer active.</w:t>
      </w:r>
    </w:p>
    <w:p>
      <w:r>
        <w:t>47</w:t>
        <w:br/>
        <w:t>While cotton is generally mentioned as an alternative material by the surveyed buyers, it is not considered a viable alternative for factual reasons, as both the product properties of the end product tampon would be significantly altered and the transition of production would involve considerable effort (see para. 34). The investigations have shown that from 2010 to 2011, there were price increases for all viscose fibers for tampons of at least 5% (varying by material standard or Galaxy and by buyers). There was no decline in the total quantity sold. The amount of cotton used has not increased.</w:t>
      </w:r>
    </w:p>
    <w:p>
      <w:r>
        <w:rPr>
          <w:b/>
        </w:rPr>
        <w:t>[Pages 19–21]</w:t>
      </w:r>
    </w:p>
    <w:p>
      <w:r>
        <w:t>- 19 -</w:t>
        <w:br/>
        <w:t>48</w:t>
        <w:br/>
        <w:t>There is no countervailing demand power from the purchasers that would be suitable to even remotely relativize a monopolistic market position of the parties involved in the merger. Although there are large companies among the purchasers, such as JJ, Procter &amp; Gamble, or Kimberly Clark, there are also numerous significantly smaller purchasers. Even the large purchasers cannot establish a convincing negotiating position against a unit of Lenzing/Kelheim in such a way that they could switch to a third-party supplier. Individually, they do not have the demand volume that could economically utilize a potential new supplier, and such a supplier is also not in sight for the aforementioned reasons.</w:t>
      </w:r>
    </w:p>
    <w:p>
      <w:r>
        <w:t>4. Balancing Clause</w:t>
        <w:br/>
        <w:t>49</w:t>
        <w:br/>
        <w:t>It has neither been asserted nor is it evident that the merger project would lead to improvements in competitive conditions and that these improvements could outweigh the disadvantages of market dominance (§ 36 para. 1 GWB).</w:t>
      </w:r>
    </w:p>
    <w:p>
      <w:r>
        <w:t>5. Result</w:t>
        <w:br/>
        <w:t>50</w:t>
        <w:br/>
        <w:t>The merger leads to the creation or strengthening of a dominant market position of Kelheim and Lenzing in the European market for the production of viscose fibers for tampons and is therefore to be prohibited pursuant to § 36 para. 2 GWB.</w:t>
      </w:r>
    </w:p>
    <w:p>
      <w:r>
        <w:t>C. FEES</w:t>
        <w:br/>
        <w:t>51</w:t>
        <w:br/>
        <w:t>[…]</w:t>
        <w:br/>
        <w:t>52</w:t>
        <w:br/>
        <w:t>[…]</w:t>
        <w:br/>
        <w:t>53</w:t>
        <w:br/>
        <w:t>[…]</w:t>
        <w:br/>
        <w:t>54</w:t>
        <w:br/>
        <w:t>[…]</w:t>
        <w:br/>
        <w:t>55</w:t>
        <w:br/>
        <w:t>[…]</w:t>
        <w:br/>
        <w:t>56</w:t>
        <w:br/>
        <w:t>[…]</w:t>
      </w:r>
    </w:p>
    <w:p>
      <w:r>
        <w:t>- 20 -</w:t>
        <w:br/>
        <w:t>D. INSTRUCTION ON LEGAL REMEDIES</w:t>
        <w:br/>
        <w:t>57</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58</w:t>
        <w:br/>
        <w:t>The appeal must be substantiated by a written submission filed with the Federal Cartel Office or the appellate court. The deadline for substantiating the appeal is two months. It begins with the delivery of the decision and can be extended upon request by the presiding judge of the appellate court. The appeal substantiation must contain the statement of the extent to which the decision is being contested and the request for its amendment or annulment, and must specify the facts and evidence, including any new ones, on which the appeal is based.</w:t>
      </w:r>
    </w:p>
    <w:p>
      <w:r>
        <w:t>59</w:t>
        <w:br/>
        <w:t>The appeal and the appeal substantiation must be signed by a lawyer.</w:t>
      </w:r>
    </w:p>
    <w:p>
      <w:r>
        <w:t>Temme Dr. Bärenß-Henke Zigelski</w:t>
        <w:br/>
        <w:t>You are hereby informed that this decision - in its tenor - will be published in the electronic Federal Gazette (§ 43 para. 2 GWB) and - in full text - on the Internet. You are therefore requested to inform the decision-making division in writing within 7 days of the delivery of this decision, if applicable, that the decision contains further business secrets that should be deleted prior to publication, beyond those already recognizable as such by you in the proceedings. Please justify by registered letter or by fax why the deletions you request are business secrets. If the responsible decision-making division does not receive any notification from you within 7 days, the Federal Cartel Office will assume that this decision does not contain any further business secrets and will publish it.</w:t>
      </w:r>
    </w:p>
    <w:p>
      <w:r>
        <w:t>- 21 -</w:t>
        <w:br/>
        <w:t>Content</w:t>
        <w:br/>
        <w:t>A. Facts .................................................................................................................... 3</w:t>
        <w:br/>
        <w:t>I. The Project .......................................................................................................... 3</w:t>
        <w:br/>
        <w:t>II. The Companies Involved in the Merger ............................................................... 3</w:t>
        <w:br/>
        <w:t>1. Lenzing AG ....................................................................................................... 3</w:t>
        <w:br/>
        <w:t>2. Kelheim Hygiene Fibres GmbH ......................................................................... 3</w:t>
        <w:br/>
        <w:t>III. Proceedings ...................................................................................................... 4</w:t>
        <w:br/>
        <w:t>B. Conditions for Prohibition .................................................................................... 5</w:t>
        <w:br/>
        <w:t>I. Formal Conditions for Prohibition ...................................................................... 5</w:t>
        <w:br/>
        <w:t>1. Applicability of the GWB .................................................................................. 5</w:t>
        <w:br/>
        <w:t>2. Merger Statute .................................................................................................. 6</w:t>
        <w:br/>
        <w:t>3. No Community-wide Significance .................................................................... 6</w:t>
        <w:br/>
        <w:t>4. Exceeding the Revenue Thresholds of § 35 para. 1 GWB ............................... 6</w:t>
        <w:br/>
        <w:t>5. Exceeding the Revenue Thresholds of § 35 para. 2 GWB ............................... 6</w:t>
        <w:br/>
        <w:t>II. Substantive Conditions for Prohibition ............................................................... 12</w:t>
        <w:br/>
        <w:t>1. Relevant Market .............................................................................................. 13</w:t>
        <w:br/>
        <w:t>2. Geographically Relevant Market ..................................................................... 15</w:t>
        <w:br/>
        <w:t>3. Creation or Strengthening of a Dominant Market Position ............................ 16</w:t>
        <w:br/>
        <w:t>3.1 Market Shares .............................................................................................. 16</w:t>
        <w:br/>
        <w:t>3.2 No Alternatives for Purchasers ..................................................................... 18</w:t>
        <w:br/>
        <w:t>4. Balancing Clause ............................................................................................ 19</w:t>
        <w:br/>
        <w:t>5. Result ............................................................................................................... 19</w:t>
      </w:r>
    </w:p>
    <w:p>
      <w:r>
        <w:rPr>
          <w:b/>
        </w:rPr>
        <w:t>[Pages 22–22]</w:t>
      </w:r>
    </w:p>
    <w:p>
      <w:r>
        <w:t>- 22 -</w:t>
        <w:br/>
        <w:t xml:space="preserve">C. Fees .................................................................................................................. 19  </w:t>
        <w:br/>
        <w:t>D. Instruction on Legal Remedies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