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https://www.bundeskartellamt.de/SharedDocs/Entscheidung/DE/Fallberichte/Fusionskontrolle/2021/B3-67-21.pdf;jsessionid=356DDFEB7AFB52E3EA50456BA9BFFBAB.1_cid378?__blob=publicationFile&amp;v=5</w:t>
      </w:r>
    </w:p>
    <w:p>
      <w:r>
        <w:t>Pages translated : 9</w:t>
      </w:r>
    </w:p>
    <w:p/>
    <w:p>
      <w:r>
        <w:rPr>
          <w:b/>
        </w:rPr>
        <w:t>[Pages 1–3]</w:t>
      </w:r>
    </w:p>
    <w:p>
      <w:r>
        <w:t>Case Report June 7, 2021</w:t>
        <w:br/>
        <w:t>Approval of the Merger between Charité and Deutsches Herzzentrum Berlin</w:t>
        <w:br/>
        <w:t>Industry: Hospitals</w:t>
        <w:br/>
        <w:t>File Number: B3-67/21</w:t>
        <w:br/>
        <w:t>Date of Decision: June 7, 2021 (Approval in the first phase)</w:t>
      </w:r>
    </w:p>
    <w:p>
      <w:r>
        <w:t>The Federal Cartel Office has approved the merger of the cardiac medical services of Charité – Universitätsmedizin Berlin, a public law corporation, Berlin ("Charité") and the Deutsches Herzzentrum Berlin, a foundation under civil law ("DHZB Foundation" for the sponsor or "DHZB" for hospital operations) under the future designation "Deutsches Herzzentrum der Charité" ("DHZC") in the first phase. The DHZC is to become an internationally leading cardiac medical hospital in accordance with the planned framework establishment agreement between the State of Berlin, Charité, and the DHZB Foundation. To accommodate the DHZC, the construction of a new building on the Charité campus at Campus Virchow-Klinikum is planned, which will be financed by both the federal government and the State of Berlin. Charité and DHZB are the only Berlin hospitals that, in addition to departments for internal medicine and cardiology, also have specialized departments for cardiac surgery.</w:t>
      </w:r>
    </w:p>
    <w:p>
      <w:r>
        <w:t>1. The Parties</w:t>
        <w:br/>
        <w:t>Charité is one of the most significant university hospitals in Europe with approximately 3,000 beds and around 150,000 (partially) inpatient and approximately 700,000 outpatient cases per year. In 2020, Charité generated revenues of €1.5 billion. Charité has the following bed-holding locations in Berlin:</w:t>
        <w:br/>
        <w:t>- "Campus Virchow-Klinikum" in the district of Mitte/Neighborhood Wedding,</w:t>
        <w:br/>
        <w:t>- "Campus Charité Mitte" in the district of Mitte/Neighborhood Mitte,</w:t>
        <w:br/>
        <w:t>- "Campus Benjamin Franklin" in the district of Steglitz-Zehlendorf/Neighborhood Lichterfelde.</w:t>
      </w:r>
    </w:p>
    <w:p>
      <w:r>
        <w:t>- 2 -</w:t>
        <w:br/>
        <w:t>Cardiac medical services are currently provided at all three Charité locations in several clinics, with a focus on cardiology. At the Campus Virchow-Klinikum, Charité also operates a cardiac surgery department (Clinic for Cardiovascular Surgery), which, however, has significantly lower case numbers and a limited range of services compared to the DHZB. Charité is a public law corporation as a member institution of the Free University of Berlin and the Humboldt University of Berlin, whose administrative organization is regulated by the Berlin University Medicine Act ("BerlUniMedG"). Charité is considered an affiliated company of the State of Berlin within the meaning of § 36 para. 2 GWB. The State of Berlin exerts a controlling influence over Charité through the right, pursuant to § 11 para. 1 nos. 1 to 3 BerlUniMedG, to appoint at least half of the supervisory board members at Charité.</w:t>
      </w:r>
    </w:p>
    <w:p>
      <w:r>
        <w:t>In addition to Charité, the clinics of Vivantes – Netzwerk für Gesundheit GmbH ("Vivantes") are also attributable to the State of Berlin under § 36 para. 2 GWB. Vivantes operates nine hospital locations in Berlin with a total of approximately 5,400 beds. Seven Vivantes clinics have a specialized department for internal medicine and cardiology, but do not have cardiac surgery departments.</w:t>
      </w:r>
    </w:p>
    <w:p>
      <w:r>
        <w:t>The DHZB Foundation was established in 1985 by the State of Berlin as a legally capable foundation under civil law based in Berlin. The location of the DHZB is also on the Campus Virchow-Klinikum. The DHZB offers the entire spectrum of cardiac and vascular surgical procedures, including pediatric cardiac surgery, transplants, and other organ replacement procedures in three specialized departments for cardiac surgery, internal medicine and cardiology, as well as pediatric and adolescent medicine. The DHZB has 194 beds and treats approximately 8,000 inpatient and 22,000 outpatient cases annually. The revenue of the DHZB in 2020 was between €150-200 million. The DHZB Foundation has always been closely intertwined with its founder, the State of Berlin. The existing, corporate law-mediated influence opportunities of the State of Berlin over the DHZB Foundation are not sufficient to assume a corporate group within the meaning of § 36 para. 2 GWB; however, they are already to be qualified as competitively significant within the meaning of § 37 para. 1 no. 4 GWB. The State of Berlin has the right, as stipulated in the articles of association of the DHZB Foundation, to appoint four of the 14 members of the foundation council. This structural influence opportunity is further strengthened by the factual influence rights of the State of Berlin, which are granted to it in its capacity as a hospital planning authority and through investment promotion in accordance with §§ 8ff. KHG. Additionally, there are rights of the State of Berlin as a supervisory authority for foundations under § 2 para. 1 of the Berlin Foundation Act.</w:t>
      </w:r>
    </w:p>
    <w:p>
      <w:r>
        <w:t>The existing corporate connection between the State of Berlin and the DHZB Foundation is also competitively significant within the meaning of § 37 para. 1 no. 4 GWB. The decisive factor is that the connections form the basis of a mutual interest reconciliation, which can be based both on the acquirer actively influencing the resources and market behavior of the acquired company and on the acquired company passively aligning its competitive behavior with the interests of the acquirer (OLG Düsseldorf, decision of July 6, 2005, VI-Kart 26/04 (V), para. 20ff. - Bonn Printing Company). This is particularly close in horizontal connections between competitors. Since both the State of Berlin – with Charité and the Vivantes clinics – and the DHZB Foundation are active in the field of acute inpatient hospital services and specifically in the area of cardiac medicine, there is a competitive significance of the existing influence rights. The State of Berlin has good conditions to realize its ideas in the DHZB Foundation Council through the currently six members assigned to the State (four born and currently two additional members), as the other members of the foundation council come from entirely different sectors, are not connected to each other, and will not bring in structurally opposing interests in this regard. Whether the State of Berlin has actually made use of the opportunity in the past to exert its competitively significant influence remains open. The mere existence of the possibility is sufficient to assume a competitively significant influence within the meaning of § 37 para. 1 no. 4 GWB. The identical personnel occupancy of the medical management positions at Charité and DHZB indicates corresponding influence.</w:t>
      </w:r>
    </w:p>
    <w:p>
      <w:r>
        <w:rPr>
          <w:b/>
        </w:rPr>
        <w:t>[Pages 4–6]</w:t>
      </w:r>
    </w:p>
    <w:p>
      <w:r>
        <w:t>- 4 -</w:t>
        <w:br/>
        <w:t>2. The Project</w:t>
        <w:br/>
        <w:t>As part of the planned merger project, all assets and employees currently used by the DHZB Foundation for hospital operations are to be transferred to Charité. By merging with the essential cardiac medical facilities of Charité, the DHZC is to be established as a "Joint Center with special participation of the Foundation" in accordance with § 3 BerlUniMedG. This is intended to be a legally dependent organizational unit within Charité, which will have extensive autonomy in strategic and operational management. The DHZC is to be led by a divisional board, which will be overseen by an administrative board. The DHZC administrative board is to be composed equally by Charité and the DHZB Foundation. Furthermore, the DHZB Foundation will receive a seat on the supervisory board of Charité.</w:t>
      </w:r>
    </w:p>
    <w:p>
      <w:r>
        <w:t>3. Competitive Assessment</w:t>
        <w:br/>
        <w:t>The project will not lead to a significant impediment to effective competition within the meaning of § 36 para. 1 GWB. This applies regardless of the underlying factual and geographic market delimitation and the consideration of merger-specific efficiency advantages.</w:t>
      </w:r>
    </w:p>
    <w:p>
      <w:r>
        <w:t>a) Factual Market Delimitation</w:t>
        <w:br/>
        <w:t>It can remain open whether the established product market for acute inpatient hospital services recognized by the highest courts is affected in this case, or whether an exception should be made for a narrower, department-specific definition of a market for cardiac surgical treatments.</w:t>
      </w:r>
    </w:p>
    <w:p>
      <w:r>
        <w:t>In principle, a product market for acute inpatient hospital services provided by general hospitals and specialized clinics should be assumed (BGH, decision of January 16, 2008, KVR 26/07, para. 49 – Kreiskrankenhaus Bad Neustadt). This is because even specialized treatments are often performed in different departments or in general departments such as internal medicine and surgery (cf. BKartA, decision of January 8, 2009, B3-174/08 – Universitätsklinikum Freiburg/Herzzentrum Bad Krozingen). In the present case, an evaluation of the data according to § 21 KHEntG, which was transmitted by the Institute for the Payment System in Hospitals ("InEK") to the Federal Cartel Office, showed that only just under 40% of the case flat rates ("DRG") billed in a cardiac surgery department were provided in a cardiac surgery specialty department at least 50% of the time. In other words: More than 60% of the DRGs billed by the cardiac surgery specialty departments cannot be considered specific to cardiac surgery because they are predominantly billed in other specialty departments.</w:t>
      </w:r>
    </w:p>
    <w:p>
      <w:r>
        <w:t>On the other hand, the factual delimitation of a more narrowly defined, department-specific market for cardiac surgical treatments would be supported by the fact that such a market definition has already been considered by the Federal Court of Justice for cases like the present one, where the object of acquisition is not a general hospital but a specialized clinic (BGH, decision of January 16, 2008, KVR 26/07, para. 51, 59 – Kreiskrankenhaus Bad Neustadt). In this respect, cardiac surgery is an independent medical specialty characterized, among other things, by a specific specialist training and a separate consideration in the Berlin Hospital Plan.</w:t>
      </w:r>
    </w:p>
    <w:p>
      <w:r>
        <w:t>An evaluation of the InEK data revealed that some DRGs are exclusively provided in cardiac surgery specialty departments. These include a total of 19 DRGs such as heart valve surgeries with cardiopulmonary bypass (DRG: F03A to F03F), coronary bypass surgeries (DRG: F06A to F06E), and complex minimally invasive surgeries on heart valves (DRG: F98A and F98B). These 19 DRGs thus represent the core area of cardiac surgical treatments, in which cardiac surgery specialty departments compete exclusively with each other and not with other specialty departments. The corresponding DRGs could therefore be described as defining for a possible factual market for cardiac surgical treatments. However, in the present case, such a delimitation ultimately did not matter, as the assessment of the merger does not differ in outcome under both conceivable market definitions (see below).</w:t>
      </w:r>
    </w:p>
    <w:p>
      <w:r>
        <w:t>- 6 -</w:t>
        <w:br/>
        <w:t>b) Geographic Market Delimitation</w:t>
        <w:br/>
        <w:t>The geographic market delimitation was also not conclusively decided in this case. In the provision of acute inpatient hospital services, regional markets typically exist. Assuming a product market for all acute inpatient hospital services, both Berlin as an overall market and four geographic sub-markets within Berlin were considered.</w:t>
      </w:r>
    </w:p>
    <w:p>
      <w:r>
        <w:t>In contrast, a market for purely cardiac surgical treatments, according to the examination results, includes the area of Berlin and large parts of the surrounding federal state of Brandenburg. The geographically relevant market is derived from an analysis of InEK data, in which all five-digit postal code areas were identified, from which at least 15% of the cases of the 19 cardiac surgery-specific DRGs were treated in one of the two Berlin cardiac surgeries.</w:t>
      </w:r>
    </w:p>
    <w:p>
      <w:r>
        <w:t>Overall, it turned out that with regard to the general hospital market (product market for acute inpatient hospital services), more than 95% of the Berlin population visits hospitals in their own city or in the federal state of Berlin. However, cardiac surgery patients from Berlin are also treated approximately 85% in Berlin itself – and so far exclusively at the joint location of Virchow-Klinikum.</w:t>
      </w:r>
    </w:p>
    <w:p>
      <w:r>
        <w:t>c) No Significant Impediment to Effective Competition</w:t>
        <w:br/>
        <w:t>Regardless of the chosen factual and geographic market delimitation, the planned merger does not lead to a significant impediment to effective competition within the meaning of § 36 para. 1 GWB.</w:t>
      </w:r>
    </w:p>
    <w:p>
      <w:r>
        <w:t>In a product market for acute inpatient hospital services, there is only a minor market share addition of less than 1% (by cases) and less than 3% (by revenues) due to the acquisition of the DHZB, regardless of all conceivable geographic delimitations. Even if the State of Berlin already has a market share of more than 40% in some conceivable regional markets through its hospitals, particularly Charité and Vivantes, and thus lies above the presumption threshold of individual market dominance, the merger ultimately does not eliminate any significant competitive pressure. This is because, in addition to the close factual specialization and the low market shares of the DHZB, a competitively significant influence of the State of Berlin on the DHZB Foundation can already be assumed prior to the merger.</w:t>
      </w:r>
    </w:p>
    <w:p>
      <w:r>
        <w:rPr>
          <w:b/>
        </w:rPr>
        <w:t>[Pages 7–9]</w:t>
      </w:r>
    </w:p>
    <w:p>
      <w:r>
        <w:t>- 7 -</w:t>
        <w:br/>
        <w:t>(see above), so that they were already in a limited competitive relationship with each other prior to the merger. Furthermore, there are numerous alternatives in Berlin that are in a closer competitive relationship to the hospitals of the State of Berlin than the DHZB. With Helios, DRK, and Sana, there are also nationwide hospital operators as competitors with case-related market shares of up to 10% in the overall Berlin market and partly up to 20% in Berlin sub-markets.</w:t>
      </w:r>
    </w:p>
    <w:p>
      <w:r>
        <w:t>In a departmental market for cardiac surgical treatments in Berlin and the surrounding area, the merger does lead, purely mathematically, to a significant addition of market shares to 70-75% based on cases and revenues (DHZB: 50-60%, Charité: 10-20%). The most significant competitor is the Heart Center Brandenburg in Bernau with a market share of 10-20% (based on cases and revenues), followed by the Sana Heart Center Cottbus with a market share of 5-10% (based on cases and revenues). Other heart centers in the federal territory have market shares of less than 1% in the relevant market area. However, there are also no overriding competitive concerns in a departmental market for cardiac surgical treatments. In this respect, the competitive intensity between Charité and DHZB is already significantly reduced due to the structural relationships existing prior to the merger and the higher professional specialization of the DHZB.</w:t>
      </w:r>
    </w:p>
    <w:p>
      <w:r>
        <w:t>4. Efficiency Advantages</w:t>
        <w:br/>
        <w:t>In the course of the proceedings, the parties involved extensively presented possible efficiency advantages of the merger. The Federal Cartel Office examined this presentation in detail. Overall, the notified merger showed a comparatively high potential for possible efficiency advantages. As stated above, efficiency aspects were ultimately not decisive for the clearance of the merger, as a significant hindrance to effective competition was not expected.</w:t>
      </w:r>
    </w:p>
    <w:p>
      <w:r>
        <w:t>According to the practice of the Federal Cartel Office, with reference to the guidelines of the European Commission for the assessment of horizontal mergers, efficiency gains can be taken into account in the context of merger control if they benefit consumers and are merger-specific and verifiable (see most recently BKartA, decision of July 30, 2020, B3-33/207, para. 402 et seq. – Malteser/Diakonissen Flensburg).</w:t>
      </w:r>
    </w:p>
    <w:p>
      <w:r>
        <w:t>According to the parties, the merger primarily serves to enable and improve research and teaching, thereby contributing to medical progress. However, the efficiency presentation was not sufficiently concrete and substantiated with facts, so that the requirement of verifiability was not yet met. The question of whether the opportunities for medical innovation arising here constitute efficiency gains that can be considered in the context of the merger review under § 36 para. 1 GWB, or rather represent macroeconomic benefits in the sense of § 42 para. 1 GWB, did not need to be decided in this case.</w:t>
      </w:r>
    </w:p>
    <w:p>
      <w:r>
        <w:t>Another efficiency advantage of the merger is seen by the parties in the increase in case numbers and the associated possibility of subspecializations of the medical staff. In this respect, the parties were able to substantiate, based on scientific studies, that there is a positive correlation between case numbers and treatment quality in terms of reduced mortality and lower complication rates for numerous cardiac surgical treatments (e.g., bypass surgery, surgical aortic valve replacement, operative reconstruction of the mitral and aortic valves, transcatheter aortic valve intervention). However, since both Charité and the DHZB already achieve the minimum case numbers examined in the studies for the affected procedures on their own, demonstrating merger-specific efficiencies through higher case numbers was very difficult in this case. Only in specific instances (e.g., in operative aortic valve reconstructions) do the parties reach case numbers through the merger for which studies indicate an additional increase in treatment quality.</w:t>
      </w:r>
    </w:p>
    <w:p>
      <w:r>
        <w:t>Further efficiency advantages of the merger could arise from the planned new building, which is intended to replace the existing, partly very outdated building stock of the DHZB and Charité. The consumer benefits associated with the new building must also be sufficiently specified in order to be considered in the context of merger control to offset negative competitive effects. In any case, the presentation of the parties regarding the planned helicopter landing pad on the roof of the new building meets these requirements. In this respect, the parties convincingly demonstrated that in the future, for up to 600 emergency patients per year (of which up to 270 are cardiac emergencies), who will be admitted from Berlin, Brandenburg, and Mecklenburg-Vorpommern and partly from Saxony and Saxony-Anhalt, a reduction in transport time of 10 to 15 minutes and a reduced number of transfers will be necessary, which represents a significant improvement from a medical perspective. A quicker medical intervention for the patient increases the likelihood of a better treatment outcome and prevents risks from additional transfers (e.g., dislodged tubes, fractures).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