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https://www.bundeskartellamt.de/SharedDocs/Entscheidung/DE/Entscheidungen/Kartellverbot/2015/B3-93-15.pdf;jsessionid=0328C42A5F6C2A8FEB94B139C9175735.1_cid371?__blob=publicationFile&amp;v=2</w:t>
      </w:r>
    </w:p>
    <w:p>
      <w:r>
        <w:t>Pages translated : 17</w:t>
      </w:r>
    </w:p>
    <w:p/>
    <w:p>
      <w:r>
        <w:rPr>
          <w:b/>
        </w:rPr>
        <w:t>[Pages 1–3]</w:t>
      </w:r>
    </w:p>
    <w:p>
      <w:r>
        <w:t>3. Decision Division</w:t>
        <w:br/>
        <w:t>B 3 – 93/15</w:t>
        <w:br/>
        <w:t>ADMINISTRATIVE PROCEDURE</w:t>
        <w:br/>
        <w:t>DECISION</w:t>
        <w:br/>
        <w:t>PURSUANT TO § 32 B GWB</w:t>
        <w:br/>
        <w:t>– public version –</w:t>
        <w:br/>
        <w:t>Decision</w:t>
        <w:br/>
        <w:t>In the administrative procedure</w:t>
        <w:br/>
        <w:t>1. Carl Warrlich GmbH</w:t>
        <w:br/>
        <w:t>Falkener Landstraße 9</w:t>
        <w:br/>
        <w:t>99830 Trettfurt</w:t>
        <w:br/>
        <w:t>– Participant 1 –</w:t>
        <w:br/>
        <w:t>Authorized representatives:</w:t>
        <w:br/>
        <w:t>Dreber &amp; Faber</w:t>
        <w:br/>
        <w:t>Mr. Attorney Dr. Kevin Faber</w:t>
        <w:br/>
        <w:t>Forstgasse 26</w:t>
        <w:br/>
        <w:t>37269 Eschwege</w:t>
        <w:br/>
        <w:t>2. Boomex Produktions- und Handelsgesellschaft</w:t>
        <w:br/>
        <w:t>chemischtechnischer Artikel mbH</w:t>
        <w:br/>
        <w:t>45356 Essen</w:t>
        <w:br/>
        <w:t>– Participant 2 –</w:t>
        <w:br/>
        <w:t>Authorized representatives:</w:t>
        <w:br/>
        <w:t>Fieldfisher</w:t>
        <w:br/>
        <w:t>Mr. Attorney Dr. Sascha Dethof</w:t>
        <w:br/>
        <w:t>Königsallee 76 - 78</w:t>
        <w:br/>
        <w:t>40212 Düsseldorf</w:t>
      </w:r>
    </w:p>
    <w:p>
      <w:r>
        <w:t>-2 -</w:t>
        <w:br/>
        <w:t>3. Carbo GmbH</w:t>
        <w:br/>
        <w:t>Falkener Landstr. 16</w:t>
        <w:br/>
        <w:t>99830 Trettfurt</w:t>
        <w:br/>
        <w:t>– Participant 3 –</w:t>
        <w:br/>
        <w:t>Authorized representatives:</w:t>
        <w:br/>
        <w:t>GÖRG Partnership of Attorneys</w:t>
        <w:br/>
        <w:t>Mr. Attorney Dr. Christian Bürger</w:t>
        <w:br/>
        <w:t>Kennedyplatz 2</w:t>
        <w:br/>
        <w:t>50679 Cologne</w:t>
        <w:br/>
        <w:t>has decided on December 21, 2015:</w:t>
        <w:br/>
        <w:t>The commitments offered by Participants 1 to 3 in their written submission of October 29, 2015, and listed in the annex to this decision are binding.</w:t>
        <w:br/>
        <w:t>The procedure is terminated in accordance with § 32 b paragraph 1 sentence 2 GWB.</w:t>
        <w:br/>
        <w:t>The fee for this procedure, including this decision, amounts to [...] and is imposed on Participants 1 to 3 as joint debtors. Expenses will be charged separately.</w:t>
      </w:r>
    </w:p>
    <w:p>
      <w:r>
        <w:t>-3 -</w:t>
        <w:br/>
        <w:t>Reasons</w:t>
        <w:br/>
        <w:t>A. Facts</w:t>
        <w:br/>
        <w:t>(1) In February 2015, the office received an anonymous tip that the companies Boomex Produktions- und Handelsgesellschaft chemischer Artikel GmbH, Essen (hereinafter: Boomex), Carl Warrlich GmbH, Treffurt (hereinafter: Warrlich), and Carbo GmbH, Treffurt (hereinafter: Carbo) are legally affiliated. The informant inferred from this that the distribution of coal and barbecue lighters between these companies was being coordinated.</w:t>
        <w:br/>
        <w:t>I. The involved companies</w:t>
        <w:br/>
        <w:t>(2) Boomex produces coal and barbecue lighters and trades in corresponding accessory articles and fuels. Coal and barbecue lighters are manufactured on a mineral oil basis as well as so-called ecological lighters based on renewable raw materials. The products are marketed under the brand "Flash" and as private labels. Except for the main product lighters, all other products (e.g., oil lamps, nesting boxes) are purchased as commercial goods. Boomex achieved revenues of a total of [40 – 50] million euros in the fiscal year 2014.</w:t>
        <w:br/>
        <w:t>(3) Since September 2015, the sole shareholder of Boomex is Peiga-Beteiligungs-GmbH (hereinafter: Peiga). The previous minority shareholders have sold their shares. Since Peiga already held the majority in Boomex beforehand and also controlled it alone, this change in the shareholder structure has no impact on the antitrust assessment. Peiga is an investment company without operational activity. No other investment company of Peiga is active in the market for lighters.</w:t>
        <w:br/>
        <w:t>(4) In the past, Boomex acquired the two trading companies Argala GmbH and Schreiber GmbH, which are still active today as trading companies under their own name.</w:t>
      </w:r>
    </w:p>
    <w:p>
      <w:r>
        <w:rPr>
          <w:b/>
        </w:rPr>
        <w:t>[Pages 4–6]</w:t>
      </w:r>
    </w:p>
    <w:p>
      <w:r>
        <w:t>-4 -</w:t>
        <w:br/>
        <w:t>(5) Warrlich also primarily produces and distributes igniters. The products are marketed under the manufacturer brands "Flamax," "Flamat," and "Evergreen," as well as under private labels. Warrlich generated total revenues of [30 – 40] million euros in the fiscal year 2014.</w:t>
        <w:br/>
        <w:t>(6) The shareholders of Warrlich are Ms. Margarete Häßler and Mr. Alexander Häßler, as well as Messrs. Karl-Heinz Warrlich and Kevin Warrlich.</w:t>
        <w:br/>
        <w:t>(7) Carbo is a joint venture equally owned by Boomex and Warrlich. Carbo achieved revenues of [0 – 10] million euros in the fiscal year 2014, almost exclusively from kerosene-based igniters. The vast majority of Carbo's revenue was generated with the two parent companies. Warrlich accounted for [40 – 50]% of the revenue, and Boomex for [30 – 40]% of the revenue. Approximately [20 – 30]% of the revenue was generated by Carbo with the sole major customer […] and [0 – 5]% of the revenue with […] smaller customers. Approximately [0 – 1] million euros of revenue came from igniters that Carbo purchased from the parent companies.</w:t>
        <w:br/>
        <w:t>(8) Carbo has a production line for the manufacture of solid igniters containing mineral oil based on kerosene or paraffin. To date, Carbo has produced solid igniters based on kerosene. Carbo plans to build an additional tank, as one tank filling can only produce either kerosene-based or paraffin-based igniters. However, according to the parties involved, this investment will not lead to an increase in capacity but will merely accelerate the ability to switch production from kerosene to paraffin igniters and vice versa. The production line has a maximum capacity of [100 - 200] pieces per minute. The annual capacity of the production line installed at Carbo is estimated by the parties to be 50 million pieces of igniters. In the last five years, an average of [20 – 30] million pieces of igniters have been produced by Carbo annually.</w:t>
        <w:br/>
        <w:t>(9) The managing directors of Carbo are Ms. Margarete Häßler (shareholder and managing director of Warrlich) and Ms. Marion Spilles (former shareholder and commercial employee at Boomex).</w:t>
      </w:r>
    </w:p>
    <w:p>
      <w:r>
        <w:t>-5 -</w:t>
        <w:br/>
        <w:t>II. The affected market</w:t>
        <w:br/>
        <w:t>1. Relevant product market</w:t>
        <w:br/>
        <w:t>(10) Carbo exclusively manufactures kerosene-based igniters. These are usually produced in slabs from which individual cubes can be broken off for the ignition process. They are used for lighting in fireplaces, grills, or coal stoves.</w:t>
        <w:br/>
        <w:t>(11) According to the parties involved in the proceedings, solid igniters based on kerosene, paraffin (so-called white igniters), wax, and wood (so-called brown igniters), as well as liquid igniters, should be grouped into one market. This is supported by the supply and demand behavior. To the knowledge of the parties, all significant producers offer a range of igniters.</w:t>
        <w:br/>
        <w:t>(12) The three major demand groups are wholesale and retail trade, as well as DIY stores. The latter usually negotiate the purchase of a complete range of igniters, while the grocery retail sector sometimes only demands a specific type of igniter but also negotiates over ranges. The wholesale trade partially distributes the igniters under its own name.</w:t>
        <w:br/>
        <w:t>(13) The parties involved have left open whether igniter creams and igniter gels should also be included in the market. According to the decision-making department, fuel pastes for gastronomy and lamp oils should not be included in the igniter market due to their basic function.</w:t>
        <w:br/>
        <w:t>(14) In the past, the Commission has followed this market definition (see COMP/M. 1632 Reckitt+Colman/Benckiser and COMP/M. 2880 Legal &amp; General Ventures/IWP). The Commission has pointed out that while the types of igniters have different qualities and prices, they do not require differentiation from the perspective of demanders, particularly in wholesale. The manufacturer of the igniters usually produces on behalf of the customer, especially when it comes to private labels.</w:t>
        <w:br/>
        <w:t>(15) From the perspective of the decision-making department, it remains to be seen whether there is a total market for grill, oven, and fireplace igniters, as there are overlaps between the activities of parent companies and joint ventures in both a broad overall market and a narrow product market for white igniters.</w:t>
      </w:r>
    </w:p>
    <w:p>
      <w:r>
        <w:t>-6 -</w:t>
        <w:br/>
        <w:t>2. Relevant geographic market</w:t>
        <w:br/>
        <w:t>(16) In defining the relevant geographic market, the perspective of the market counterpart should be considered, so that for supply markets, it matters where demanders can procure their supplies. The relevant geographic market may be broader than the scope of this law according to § 18 Abs. 2 GWB.</w:t>
        <w:br/>
        <w:t>(17) According to the parties, it is a geographically EEA-wide market. The Commission has also held this view in the two aforementioned cases. The export quotas of Warrlich at […]% and Boomex at […]% support the existence of cross-border markets.</w:t>
        <w:br/>
        <w:t>(18) However, the assumption of an EEA-wide market is contradicted by the fact that a distribution organization is sometimes necessary on-site. Some customers also expect direct delivery to individual markets at the carton level, according to the parties. Such deliveries are not possible without an on-site distribution organization or a logistics partner.</w:t>
        <w:br/>
        <w:t>(19) Considering the demanders primarily in the geographic market definition, it should be noted that all major German retail chains purchase their range from the parties involved. For them, the performance of the parties does not seem interchangeable with the performance of other EEA-wide operating companies. Wholesale customers, on the other hand, are predominantly based outside of Germany. In this respect, a distinction could be made between the two demand groups.</w:t>
        <w:br/>
        <w:t>3. Market structure</w:t>
        <w:br/>
        <w:t>(20) As manufacturers of igniters and significant competitors, the parties mention eight companies: Standard Brands Trading (Ireland), Tiger Tim Products Ltd. (England), Euroliters Ltd. (England), Dutch-Flame Production and Trailing B.V. (Netherlands), Fireup International BV (Netherlands), Beyster sp.zo.o. (Poland), Severochema (Czech Republic), and Gottfried Schmalfuss GmbH.</w:t>
        <w:br/>
        <w:t>(21) Thus, in Germany, there is only one other manufacturer besides the parties involved. Gottfried Schmalfuss GmbH was already questioned by the decision-making department prior to the proceedings and stated that it is only active in the product market for igniters to a lesser extent compared to the parties involved.</w:t>
      </w:r>
    </w:p>
    <w:p>
      <w:r>
        <w:rPr>
          <w:b/>
        </w:rPr>
        <w:t>[Pages 7–9]</w:t>
      </w:r>
    </w:p>
    <w:p>
      <w:r>
        <w:t>-7-</w:t>
        <w:br/>
        <w:t>(22) In addition to the manufacturers, according to the parties involved, there are ten dealers in Germany alone on the market who partially distribute ignition products under their own brand (Profagus GmbH, Alschu-Chemie GmbH, KM Zündholz International Karl Müller GmbH, Höfer Chemie GmbH, Walter Schmidt Chemie GmbH, DHG Vertriebs- und Consulting Gesellschaft mbH, Holzkohlewerk Lüneburg, Tom Vertriebs GmbH &amp; Co. KG, Weber Stephen Deutschland GmbH, Renomme, Oelkers Market IN GmbH). These dealers partially fill igniters themselves and also offer igniters under their own brand. For example, Alschu-Chemie GmbH claims to produce brown igniters themselves and purchase white igniters in England. Some of the aforementioned dealers are also customers of Warrlich and Boomex. Furthermore, only a part of the dealers mentioned by the parties has white igniters in their assortment. In this respect, it is questionable whether manufacturers and dealers can actually be grouped together as competitors in a relevant product market. However, this question is not decisive for the decision.</w:t>
      </w:r>
    </w:p>
    <w:p>
      <w:r>
        <w:t>B. Proceedings</w:t>
        <w:br/>
        <w:t>(23) The parties involved 1 to 3 were requested to comment by letter dated May 20, 2015, on the extent to which the joint venture is to be assessed under antitrust law. After an extension of the deadline, the responses from all three companies were received on July 28, 2015. The submission was supplemented by a letter from party 3 dated August 31, 2015. The parties had already proposed in their initial statement to limit the business activities of the joint venture Carbo to production. This was done with the aim of being able to leave the question of the antitrust compatibility of the current structure of Carbo open, thereby saving resources and time for all parties involved in the proceedings. The involved companies have therefore also minimized their statements regarding antitrust compatibility.</w:t>
      </w:r>
    </w:p>
    <w:p>
      <w:r>
        <w:t>(24) By letter dated October 20, 2015, the decision-making department submitted a proposal to limit the activities of the joint venture.</w:t>
      </w:r>
    </w:p>
    <w:p>
      <w:r>
        <w:t>-8-</w:t>
        <w:br/>
        <w:t>C. Commitments</w:t>
        <w:br/>
        <w:t>(25) The commitments offered by the party involved in the letter dated October 29, 2015, have the following content:</w:t>
        <w:br/>
        <w:t>1. Party 3 (Carbo) will terminate all distribution contracts effective December 31, 2015.</w:t>
        <w:br/>
        <w:t>2. After December 31, 2015, Party 3 (Carbo) will only produce igniters based on paraffin and kerosene for Parties 1 (Warrlich) and 2 (Boomex).</w:t>
        <w:br/>
        <w:t>3. The production facility of Party 3 (Carbo) will be limited to the production of igniters based on kerosene or paraffin with an annual capacity of 50 million pieces.</w:t>
      </w:r>
    </w:p>
    <w:p>
      <w:r>
        <w:t>D. Competitive Concerns</w:t>
        <w:br/>
        <w:t>(26) Based on a preliminary assessment, there were concerns that the joint venture could lead to a coordination of behavior among the parent companies, which would constitute a violation of Art. 101(1) TFEU and § 1 GWB.</w:t>
      </w:r>
    </w:p>
    <w:p>
      <w:r>
        <w:t>I. Restriction of Competition</w:t>
        <w:br/>
        <w:t>(27) Since Warrlich and Boomex are significantly active across borders, the decision-making department applied both § 1 GWB and Art. 101(1) TFEU to the present case as a precaution.</w:t>
      </w:r>
    </w:p>
    <w:p>
      <w:r>
        <w:t>(28) A horizontal agreement under Art. 101 TFEU is considered problematic if it has restrictive effects on competition based on the purpose of the cooperation, the competitive relationship between the parties, and the extent of the combined activities.</w:t>
      </w:r>
    </w:p>
    <w:p>
      <w:r>
        <w:t>(29) In relation to Art. 101 TFEU, the guidelines for agreements on horizontal cooperation (hereinafter: Horizontal Guidelines) are to be applied. In principle, joint distribution is assessed as more problematic than joint production according to paragraph 167 of the Horizontal Guidelines. To the extent that joint distribution occurs, paragraphs 230 – 236 of the Horizontal Guidelines are relevant. A full-function joint venture with joint distribution typically aims, according to paragraphs 234 f. of the Horizontal Guidelines, for the participating companies to coordinate competitively sensitive information (e.g., prices). This is also assumed according to paragraph 235 of the Horizontal Guidelines in the case of a non-exclusive agreement if the parties also sell the product themselves.</w:t>
      </w:r>
    </w:p>
    <w:p>
      <w:r>
        <w:t>(30) § 1 GWB applies only to a restriction of competition between the shareholders of Carbo, but not to a restriction of competition between the shareholders on one side and the joint venture on the other (see OLG Düsseldorf VI-Kart 9/12, decision of July 8, 2014). According to the case law of the BGH, the circumstances of the individual case are decisive (see Ost-Fleisch decision BGH NJW 3782, 3785). It is crucial whether, based on life experience, mutual consideration is to be expected that leads to a coordination of the market behavior of the parent companies. It is sufficient if, based on the established facts, there is a predominant likelihood that the parent companies will coordinate their behavior and attempt to improve their profit situation in this way. Neither a dominant market position nor a strong market position of the participating companies is a prerequisite.</w:t>
      </w:r>
    </w:p>
    <w:p>
      <w:r>
        <w:t>(31) Therefore, both under Art. 101 TFEU and § 1 GWB, the question of the coordination interest of the parties is central. It can be assumed that rationally acting companies will agree on a restriction of competition if they can expect corresponding market effects due to existing market power.</w:t>
      </w:r>
    </w:p>
    <w:p>
      <w:r>
        <w:t>(32) From the following points, the decision-making department sees sufficient reasons in the context of a preliminary assessment to affirm a restriction of competition.</w:t>
      </w:r>
    </w:p>
    <w:p>
      <w:r>
        <w:t>(33) On the one hand, Boomex and Warrlich count almost the entire German food retail sector, including the large discounters, among their customers. This alone is sufficient reason to identify antitrust concerns regarding a joint venture with its own distribution.</w:t>
      </w:r>
    </w:p>
    <w:p>
      <w:r>
        <w:rPr>
          <w:b/>
        </w:rPr>
        <w:t>[Pages 10–12]</w:t>
      </w:r>
    </w:p>
    <w:p>
      <w:r>
        <w:t>-10 -</w:t>
        <w:br/>
        <w:t>(34) On the one hand, Boomex and Warrlich count almost the entire German food retail sector, including the large discounters, among their customers. This alone is sufficient reason to identify competition law concerns regarding a joint venture with its own distribution.</w:t>
      </w:r>
    </w:p>
    <w:p>
      <w:r>
        <w:t>(35) On the other hand, the parent companies are significant in a conceivable product market for the white igniters manufactured by Carbo. Boomex itself considers itself one of the leading manufacturers in the field of white igniters (see minutes of the shareholders' meeting of March 10, 2009). At the manufacturer level, there is only one single and significantly smaller competitor for white igniters in Germany.</w:t>
      </w:r>
    </w:p>
    <w:p>
      <w:r>
        <w:t>(36) Furthermore, there are personnel interconnections between the management of Carbo and the two parent companies. The two managing directors of Carbo simultaneously hold positions in the parent companies (see above, para. 9).</w:t>
      </w:r>
    </w:p>
    <w:p>
      <w:r>
        <w:t>(37) Even if the own distribution of the joint venture generates only limited sales, the resulting possibilities and incentives create the expectation that there will be a coordination of behavior among the parent companies.</w:t>
      </w:r>
    </w:p>
    <w:p>
      <w:r>
        <w:t>(38) The restriction of competition must be significant both under Art. 101 TFEU and § 1 GWB. Whether this threshold is exceeded or not in this case has not been determined. Regardless of whether this market share threshold is reached, an analysis of the specific circumstances of the individual case is necessary. If the market significance in a part of the geographical market is large, the significance is also given, especially since the market share threshold is merely a presumption rule.</w:t>
      </w:r>
    </w:p>
    <w:p>
      <w:r>
        <w:t>(39) Based on the described supply flows, one cannot exclude a market that is EEA-wide. On the other hand, the necessity of local establishments for supply indicates rather regional markets. In that case, the market share of the parties exceeds the significance threshold. This is particularly true if one still distinguishes between an independent manufacturer and dealer market.</w:t>
      </w:r>
    </w:p>
    <w:p>
      <w:r>
        <w:t>(40) According to the present assessment, there are concerns that a intended restriction of competition exists. The restriction of competition does not have to be the main or sole purpose of an agreement. However, a competition-restricting purpose can also be assumed if the agreement does not exclusively aim at restricting competition but also pursues other permissible purposes (see Hengst in Langen/Bunte Art. 101 para. 230). While Carbo is already partially an extended workbench for the two parent companies, on the other hand, the company has so far maintained an independent market presence. Therefore, there is a presumption that the information exchanged between the two parent companies in distribution is taken into account in determining their market behavior. This is particularly applicable because the two managing directors of Carbo simultaneously hold positions in the parent companies.</w:t>
      </w:r>
    </w:p>
    <w:p>
      <w:r>
        <w:t>II. No Exemption</w:t>
        <w:br/>
        <w:t>1. Exemption pursuant to Block Exemption Regulation</w:t>
        <w:br/>
        <w:t>(41) An exemption based on a Block Exemption Regulation was not claimed by the parties involved. With regard to the applicable Specialization BER, its applicability already appears questionable, as the parties are active both in manufacturing and distribution alongside the joint ventures. Furthermore, based on a preliminary assessment, it could not be ruled out that the combined share of the parties in each of the potentially relevant markets outlined above is below 20%.</w:t>
      </w:r>
    </w:p>
    <w:p>
      <w:r>
        <w:t>2. Exemption pursuant to Art. 101 para. 3 TFEU</w:t>
        <w:br/>
        <w:t>(42) An exemption under Art. 101 para. 3 TFEU or § 2 GWB was also not evident. Neither the efficiency benefits nor the consumer benefits presented justify a joint venture with its own distribution. Therefore, the joint venture in the operated form with distribution is also not essential.</w:t>
      </w:r>
    </w:p>
    <w:p>
      <w:r>
        <w:t>(43) The operation of Carbo, in the view of the parent companies, leads to efficiency advantages. Boomex has no expansion options for production facilities on its own factory premises. The development of a new factory site for a production line is not economically sensible. Thus, the joint venture Carbo is able to access replacement equipment (e.g., tools, forklifts) on the premises of Warrlich due to its proximity, in order to avoid production downtime in the event of a disruption. The parties have not explained why a separate distribution is necessary in addition to production.</w:t>
      </w:r>
    </w:p>
    <w:p>
      <w:r>
        <w:t>(44) The consumer must continue to be adequately involved in the profits, i.e., the benefit of passing on efficiency gains must outweigh the competition-restricting effects of the cooperation (LL No. 185). The likelihood of this is given if the cooperation leads to savings in variable costs as opposed to those in fixed costs (see Braun in Langen/Bunte after Art. 101 TFEU para. 194). However, the joint production leads rather to minimal savings in variable costs. The relevant variable costs at Carbo, according to the parties, are the purchase price for kerosene. This is a world market price that is at a similar level for all competitors. Therefore, the independent distribution of Carbo does not lead to any significant alignment of variable costs. In this respect, it is questionable whether this criterion is fulfilled.</w:t>
      </w:r>
    </w:p>
    <w:p>
      <w:r>
        <w:t>(45) The joint venture in the specifically operated form must also be essential. According to preliminary assessment, this is lacking here. Both the efficiency gains presented and the consumer benefits do not necessarily require a joint venture with full functionality that also distributes the joint goods.</w:t>
      </w:r>
    </w:p>
    <w:p>
      <w:r>
        <w:t>E. Jurisdiction of the Federal Cartel Office</w:t>
        <w:br/>
        <w:t>(46) The Federal Cartel Office is competent according to § 48 para. 2 sentence 1 GWB, as the interconnections described above aim, according to preliminary assessment, at a coordination of the parties in competition.</w:t>
      </w:r>
    </w:p>
    <w:p>
      <w:r>
        <w:t>F. Commitments are suitable to dispel concerns</w:t>
        <w:br/>
        <w:t>(47) The commitments offered by the parties and reproduced under C. are suitable to eliminate the currently existing competition restrictions presented above, according to preliminary assessment.</w:t>
      </w:r>
    </w:p>
    <w:p>
      <w:r>
        <w:t>(48) The above-described risk of coordination among the parent companies in distribution is eliminated by the commitments. The two competitors have already offered in their initial statements to reduce the joint venture Carbo to a pure "workbench."</w:t>
      </w:r>
    </w:p>
    <w:p>
      <w:r>
        <w:rPr>
          <w:b/>
        </w:rPr>
        <w:t>[Pages 13–15]</w:t>
      </w:r>
    </w:p>
    <w:p>
      <w:r>
        <w:t>-13 -</w:t>
        <w:br/>
        <w:t>(48) Joint production between competitors within the framework of a joint venture constitutes a horizontal agreement. Each production agreement must be assessed for its actual competitive effects based on the criteria of the horizontal guidelines.</w:t>
        <w:br/>
        <w:t>(49) The only flow of information occurs after the commitments regarding production costs in the joint venture are implemented. Since the volume of production at Carbo, in relation to the total volume of production of the parent companies (see above, para. 7), is rather low, this information is relatively insignificant. The joint venture does not significantly alter the variable costs of production (see also LL No. 180). Therefore, the risk of collusion through cost alignment does not exist. According to the parties' submissions, the relevant variable costs at Carbo are the purchase price for kerosene. This is a market price that is at a similar level for all competitors. Therefore, the joint production at Carbo does not lead to any significant alignment of variable costs.</w:t>
        <w:br/>
        <w:t>(50) The impact on the cost structure of the parent companies is also low, as the cooperation in the joint venture Carbo constitutes only a small part of the respective total production of the parent companies (see also LL No. 175-179). Boomex and Warrlich have only pooled a small portion of their production. Of the white lighters sold by Boomex, [10 – 20]% come from the production of Carbo, and for Warrlich, this share is [10 – 20]%. Based on the relevant overall market, which also includes brown lighters, ignition wool, and liquid igniters, Carbo's supply share for both parent companies is below […]%. A coordination interest of the parties - the core question under Art. 101 TFEU as well as under § 1 GWB - must be denied in the case of a pure production company.</w:t>
        <w:br/>
        <w:t>(51) The lighters produced by Carbo on a kerosene basis are a homogeneous mass product. In a single-product market, the risk of coordination would be high. However, in this case, it is more of a product range market (see above, para. 10 ff.). The parent companies offer all types of lighters, whereas Carbo only produces lighters on a kerosene basis. This aspect also argues against coordination of the parent companies in the case of a pure production company.</w:t>
        <w:br/>
        <w:t>(52) In the joint venture, there is neither a concentration of production nor is the production volume of the joint venture of market-dominating significance. Even the product white lighters are not exclusively produced there for both parent companies, as both maintain their own production lines. The parent companies are likely to be keen to utilize the production facilities that they fully own first.</w:t>
        <w:br/>
        <w:t>(53) Therefore, the decision-making department declares the commitments binding within the scope of its discretion and terminates the proceedings in accordance with § 32 b Abs. 1 Sentence 2 GWB.</w:t>
        <w:br/>
        <w:t>G. Fees</w:t>
        <w:br/>
        <w:t>(54) Official actions based on § 32 b GWB are subject to fees according to § 80 Abs. 1 Sentence 2 No. 2 GWB. The fee may not exceed 25,000 EUR here according to § 80 Abs. 2 Sentence 2 No. 2 GWB. If the personnel or material effort, taking into account the economic significance, is particularly high, this fee may be increased up to double (§ 80 Abs. 2 Sentence 3 GWB).</w:t>
        <w:br/>
        <w:t>(55) The amount of the fees is determined by the personnel and material effort of the competition authority, taking into account the economic significance of the subject of the fee-based action (§ 80 Abs. 2 Sentence 1 GWB). Among the mentioned criteria, the economic significance carries the greatest weight. If the economic significance determined according to these criteria corresponds to the average, a medium fee is generally appropriate. This amounts to 12,500 EUR according to the currently applicable fee framework. From this average, depending on the respective economic significance and the workload, adjustments may be made, the amount of which is at the discretion of the competition authority (see OLG Düsseldorf WuW 2000, 894 "Tequila", KG WuW/E OLG 5259 "Kleinhammer", KG WuW/E OLG 5287 "Finanzbeteiligung Gebühr"). In assessing the economic significance, the restriction of competition and its intensity, as well as the market significance of the parties involved in the proceedings, must be taken into account.</w:t>
        <w:br/>
        <w:t>(56) In the present case, the economic significance is average. The decision eliminates the anti-competitive connection between two competitors and therefore, based on a preliminary assessment, constitutes a restriction of competition. Additionally, it was taken into account in the fee assessment that the parties have a very high market significance domestically.</w:t>
        <w:br/>
        <w:t>(57) The personnel and material effort was low, as the parties already offered a limitation of Carbo to production in their first submission.</w:t>
        <w:br/>
        <w:t>(58) Overall, therefore, the fee for the official action based on § 32 b GWB in the amount of [...] is appropriate and justified. The debtor of the costs is, according to § 80 Abs. 6 Sentence 1 No. 2 GWB, the party involved.</w:t>
        <w:br/>
        <w:t>(59) The fees of [...] are to be transferred within one month after the delivery of this decision to the account of the</w:t>
        <w:br/>
        <w:t>Bundeskasse Trier</w:t>
        <w:br/>
        <w:t>Deutsche Bundesbank, Filiale Saarbrücken</w:t>
        <w:br/>
        <w:t>IBAN: DE81 5900 0000 0059 0010 20</w:t>
        <w:br/>
        <w:t>BIC: MARKDEF 1590.</w:t>
        <w:br/>
        <w:t>Please ensure to indicate the purpose of use as</w:t>
        <w:br/>
        <w:t>Kassenzeichen 810600326637</w:t>
        <w:br/>
        <w:t>and the date of the decision.</w:t>
        <w:br/>
        <w:t>(60) If no or no complete payment is made by the end of one month after the day of delivery, default surcharges of one percent of the outstanding amount may be charged for each commenced month of default (§ 80 Abs. 8 GWB, § 1 Abs. 2 KartKostVO in conjunction with § 18 Abs. 1 VwKostG).</w:t>
        <w:br/>
        <w:t>(61) For transfers from abroad, bank charges generally apply. In these cases, it must be ensured that the full fee is credited to the account of the Federal Cartel Office.</w:t>
      </w:r>
    </w:p>
    <w:p>
      <w:r>
        <w:rPr>
          <w:b/>
        </w:rPr>
        <w:t>[Pages 16–17]</w:t>
      </w:r>
    </w:p>
    <w:p>
      <w:r>
        <w:t>-16 -</w:t>
        <w:br/>
        <w:t>H. Instructions on Legal Remedies</w:t>
        <w:br/>
        <w:t>(62) 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 The appeal must be substantiated by a written statement submitted to the Bundeskartellamt or the appellate court. The deadline for the appeal justification is two months. It begins with the delivery of the contested order and can be extended upon request by the presiding judge of the appellate court. The appeal justification must contain a statement indicating the extent to which the decision is being contested and the request for its amendment or annulment, as well as the – if applicable, also new – facts and evidence on which the appeal is based. The appeal and the appeal justification must be signed by a lawyer. The appeal does not have suspensive effect. Upon request, the appellate court may order the suspensive effect of the appeal in whole or in part.</w:t>
        <w:br/>
        <w:t>Temme zu Solms-Sieglin Zerwas</w:t>
        <w:br/>
        <w:t>You are hereby informed that the decision – in its operative part – will be published in the Federal Gazette (§43 Abs. 2 Nr. 1 GWB) and – in full text – on the internet. You are therefore requested to inform the decision-making department in writing within 7 days of the delivery of this decision whether the decision contains trade secrets that need to be redacted prior to publication. Please justify why the deletions you may request constitute trade secrets. If the responsible decision-making department does not receive any notification from you within 7 days, the Bundeskartellamt will assume that this decision does not contain any trade secrets and will publish it.</w:t>
      </w:r>
    </w:p>
    <w:p>
      <w:r>
        <w:t>-17 -</w:t>
        <w:br/>
        <w:t>Table of Contents</w:t>
        <w:br/>
        <w:t>A. Facts .................................................................................................................... 3</w:t>
        <w:br/>
        <w:t>I. The involved companies .................................................................................... 3</w:t>
        <w:br/>
        <w:t>II. The affected market ............................................................................................ 5</w:t>
        <w:br/>
        <w:t>1. Relevant product market ....................................................................................... 5</w:t>
        <w:br/>
        <w:t>2. Relevant geographic market .................................................................................. 6</w:t>
        <w:br/>
        <w:t>3. Market structure ..................................................................................................... 6</w:t>
        <w:br/>
        <w:t>B. Proceedings ..................................................................................................... 7</w:t>
        <w:br/>
        <w:t>C. Commitments ................................................................................................. 8</w:t>
        <w:br/>
        <w:t>D. Competitive concerns .................................................................................... 8</w:t>
        <w:br/>
        <w:t>I. Restriction of competition .................................................................................. 8</w:t>
        <w:br/>
        <w:t>II. No exemption ..................................................................................................... 11</w:t>
        <w:br/>
        <w:t>1. Exemption pursuant to Block Exemption Regulation ........................................... 11</w:t>
        <w:br/>
        <w:t>2. Exemption pursuant to Art. 101 Abs. 3 TFEU ....................................................... 11</w:t>
        <w:br/>
        <w:t>E. Jurisdiction of the Bundeskartellamt ............................................................ 12</w:t>
        <w:br/>
        <w:t>F. Commitments are suitable to address the concerns ................................. 12</w:t>
        <w:br/>
        <w:t>G. Fees .................................................................................................................. 14</w:t>
        <w:br/>
        <w:t>H. Instructions on Legal Remedies ....................................................................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