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https://www.bundeskartellamt.de/SharedDocs/Entscheidung/DE/Fallberichte/Fusionskontrolle/2022/B3-95-22.pdf?__blob=publicationFile&amp;v=3</w:t>
      </w:r>
    </w:p>
    <w:p>
      <w:r>
        <w:t>Pages translated : 4</w:t>
      </w:r>
    </w:p>
    <w:p/>
    <w:p>
      <w:r>
        <w:rPr>
          <w:b/>
        </w:rPr>
        <w:t>[Pages 1–3]</w:t>
      </w:r>
    </w:p>
    <w:p>
      <w:r>
        <w:t>Case Report September 26, 2022</w:t>
        <w:br/>
        <w:t>Merger of the hospital and nursing home chains of Marienhaus Stiftung and St. Franziskus-Stiftung approved</w:t>
        <w:br/>
        <w:t>Industry: Hospital Sector</w:t>
        <w:br/>
        <w:t>File Number: B3-95/22</w:t>
        <w:br/>
        <w:t>Date of Decision: September 12, 2022 (Approval in the first phase)</w:t>
        <w:br/>
        <w:t>The Federal Cartel Office has approved the merger of two Catholic hospital groups. The St. Franziskus Stiftung from Münster (Franciscan Sisters of St. Mauritz) and the Marienhaus Stiftung (Waldbreitbach Franciscan Sisters) intend to consolidate their extensive activities in the field of health and nursing services under the umbrella of Marienhaus GmbH in Waldbreitbach. This will then form one of the largest German hospital groups after the leading private hospital corporations Helios, Asklepios, and Sana. Together, the participants operate 32 hospitals (mostly with affiliated medical care centers "MVZ"), 13 hospices, two rehabilitation clinics, and 26 nursing and care homes as inpatient facilities, as well as rehabilitation and nursing services as outpatient offerings. Additionally, there are facilities for child and youth welfare as well as for educational purposes. Since both hospital operators are foundations, the Federal Cartel Office considered the statutory influence possibilities on the foundations and thus indirectly on the business activities. This will continue to be monitored.</w:t>
        <w:br/>
        <w:t>1. The Participants</w:t>
        <w:br/>
        <w:t>The Marienhaus Stiftung is an independent ecclesiastical foundation under civil law and operates a total of 73 facilities in Rhineland-Palatinate, Saarland, and to a minor extent in North Rhine-Westphalia, which include acute hospitals, medical care centers ("MVZ"), nursing homes, hospices, educational institutions, and child and youth welfare facilities.</w:t>
      </w:r>
    </w:p>
    <w:p>
      <w:r>
        <w:t>- 2 -</w:t>
        <w:br/>
        <w:t>The St. Franziskus Stiftung is also an independent ecclesiastical foundation under civil law and operates 42 facilities, which include acute clinics, inpatient and outpatient rehabilitation facilities, facilities for the disabled and the elderly, MVZ, inpatient and outpatient hospices, an inclusion enterprise, outpatient nursing services, as well as physiotherapy centers.</w:t>
        <w:br/>
        <w:t>2. The Project</w:t>
        <w:br/>
        <w:t>As part of the planned project, all business activities of the participants are to be consolidated under the umbrella of Marienhaus GmbH. Marienhaus GmbH is already the managing parent company of the Waldbreitbach Franciscan Sisters. In the future, it is also to take over the business operations of the Münster Franciscan Sisters (zu Mauritz). The Marienhaus Stiftung and the St. Franziskus Stiftung will then each hold a 50% stake in Marienhaus GmbH.</w:t>
        <w:br/>
        <w:t>3. Competitive Assessment</w:t>
        <w:br/>
        <w:t>The project will not lead to a significant impediment to effective competition within the meaning of § 36 Abs. 1 GWB. This applies regardless of the underlying factual and geographical market delineation.</w:t>
        <w:br/>
        <w:t>a) Factual Market Delineation</w:t>
        <w:br/>
        <w:t>In factual terms, the market for acute inpatient hospital services provided by general hospitals and specialized clinics was primarily affected. This market includes all inpatient services provided by hospitals to their patients (BGH, decision of January 16, 2008, KVR 26/071, para. 49 et seq. – Kreiskrankenhaus Bad Neustadt). Additionally, the markets for rehabilitation clinics as well as for nursing homes were included. Markets for outpatient medical and nursing services were also affected, although the exact factual and geographical market delineation could remain open due to lack of relevance for the decision.</w:t>
        <w:br/>
        <w:t>b) Geographical Market Delineation</w:t>
        <w:br/>
        <w:t>The exact geographical delineation of the market for acute inpatient hospital services also did not need to be conclusively determined in this case, as the hospital locations and the main areas of activity of the two merging parties are far apart (St. Franziskus Stiftung: Münster/Westfalen/Bremen; Marienhaus Stiftung: Rheinland-Pfalz/Saarland/Bonn) and therefore they practically do not come into consideration as effective competitors. There is only a potential overlap in the Geldern/Kevelaer area. Here, both hospitals of the St. Franziskus Stiftung are active (St. Bernhard Hospital Kamp-Lintfort, St. Irmgardis-Krankenhaus Viersen, Allgemeines Krankenhaus Viersen) as well as the General Hospital St. Clemens Hospital Geldern. This is operated by ctt (cusanus trägergesellschaft trier mbH "ctt"). To what extent the ctt is controlled by the Waldbreitbacher Franziskanerinnen through the Hildegard-Stiftung could not be conclusively clarified in the first phase of the examination. However, this question could also remain open, as an examination of the market conditions in Geldern/Kevelaer did not give rise to any cause for concern.</w:t>
        <w:br/>
        <w:t>c) No Significant Impairment of Effective Competition</w:t>
        <w:br/>
        <w:t xml:space="preserve">Regardless of the chosen factual and geographical market delineation and the control of the ctt, the planned project in the market for acute inpatient hospital services does not lead to a significant impediment to effective competition within the meaning of § 36 Abs. 1 GWB. </w:t>
        <w:br/>
        <w:t>The examination of the competitive conditions in the geographically affected area of Niederrhein revealed that the geographically relevant market encompasses the entire area of Geldern and Kevelaer (more than 10 postal code areas). In this regard, the combined market shares of St. Clemens Hospital Geldern and the nearby hospitals of the St. Franziskus Stiftung (St. Bernhard Hospital Kamp-Lintfort, St. Irmgardis-Krankenhaus Viersen) are clearly below 40%. Therefore, the question of whether and to what extent the ctt is controlled by the Marienhaus Stiftung was no longer decisive.</w:t>
        <w:br/>
        <w:t>4. Structure of the Foundations</w:t>
        <w:br/>
        <w:t>In this context, the decision-making department also dealt with the internal structure of the participating foundations, both of which were founded by different women's orders of the diverse Franciscan movement. Ecclesiastical foundations are often directly controlled by the respective diocesan bishop or through influence over the personnel appointments of the foundation's bodies. In the case examined here, the Bishop of Trier plays an important role for the Marienhaus Stiftung, while the Bishop of Münster plays a significant role for the St. Franziskus Stiftung. Their influence could grow further if the women's orders increasingly suffer from recruitment problems. For it is not excluded that if a certain number of order members is not maintained, an order may be dissolved, so that...</w:t>
      </w:r>
    </w:p>
    <w:p>
      <w:r>
        <w:rPr>
          <w:b/>
        </w:rPr>
        <w:t>[Pages 4–4]</w:t>
      </w:r>
    </w:p>
    <w:p>
      <w:r>
        <w:t>- 4 -</w:t>
        <w:br/>
        <w:t>also its (co-) control rights over the foundation it established, in which the order's assets are located, may be transferred to third parties. These can typically be higher-level Catholic institutions. However, the question of (co-) control could be left open in the present case due to the only minimal spatial overlap (see above). The Federal Cartel Office will also take into account the actual influence possibilities of the ecclesiastical institutions in future assessments of comparable constellations.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