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http://www.bundeskartellamt.de/SharedDocs/Entscheidung/DE/Entscheidungen/Fusionskontrolle/2003/B4-136-01.pdf;jsessionid=115094E5EEC6FA7C14A118D8A6349EE1.1_cid371?__blob=publicationFile&amp;v=3</w:t>
      </w:r>
    </w:p>
    <w:p>
      <w:r>
        <w:t>Pages translated : 24</w:t>
      </w:r>
    </w:p>
    <w:p/>
    <w:p>
      <w:r>
        <w:rPr>
          <w:b/>
        </w:rPr>
        <w:t>[Pages 1–3]</w:t>
      </w:r>
    </w:p>
    <w:p>
      <w:r>
        <w:t>%81’(6.$57(//$07</w:t>
        <w:br/>
        <w:t>4. DECISION DIVISION</w:t>
        <w:br/>
        <w:t xml:space="preserve">B4 – 29404 – U – 136/01 </w:t>
        <w:br/>
        <w:t>)h5</w:t>
        <w:br/>
        <w:t>)86,2169(5)$+5(1</w:t>
        <w:br/>
        <w:t>9(5)h*81*(cid:3)*(0b66(cid:3)(cid:134)(cid:3)(cid:23)(cid:19)(cid:3)$%6</w:t>
        <w:br/>
        <w:t>*:%(</w:t>
        <w:br/>
        <w:t>%ESCHLU</w:t>
        <w:br/>
        <w:t>in the administrative procedure</w:t>
        <w:br/>
        <w:t>1. Homag Holzbearbeitungssysteme AG, Schopfloch</w:t>
        <w:br/>
        <w:t>2. IMA Klessmann GmbH Holzbearbeitungssysteme, Lübbecke</w:t>
        <w:br/>
        <w:t>3. Lignum Technologie AG, Schopfloch</w:t>
        <w:br/>
        <w:t>4. Erich und Hanna Klessmann Stiftung, represented by the board members Gerhard Wieland and Dr. Weger, as legal successors of Erich and Hanna Klessmann</w:t>
        <w:br/>
        <w:t>5. Jürgen Nottmeyer</w:t>
        <w:br/>
        <w:t>6. Horst Nottmeyer as partner of Gebrüder Nottmeyer GbR</w:t>
        <w:br/>
        <w:t>7. Jens Nottmeyer as partner of Gebrüder Nottmeyer GbR</w:t>
        <w:br/>
        <w:t>8. Frank Nottmeyer as partner of Gebrüder Nottmeyer GbR</w:t>
        <w:br/>
        <w:t>9. Heinz-Uwe Nottmeyer as partner of Gebrüder Nottmeyer GbR</w:t>
        <w:br/>
        <w:t>10. Peter Wehrmann</w:t>
        <w:br/>
        <w:t>11. Jochen-Dieter Wehrmann</w:t>
        <w:br/>
        <w:t>12. Wolfgang Wehrmann</w:t>
        <w:br/>
        <w:t>13. Walter Wehrmann</w:t>
        <w:br/>
        <w:t>14. Tina Wehrmann</w:t>
        <w:br/>
        <w:t>15. Tom Wehrmann</w:t>
        <w:br/>
        <w:t>16. Britta Wehrmann</w:t>
        <w:br/>
        <w:t>17. Per Wehrmann</w:t>
        <w:br/>
        <w:t>18. Cerrin Wehrmann</w:t>
        <w:br/>
        <w:t>19. Stephan Wehrmann</w:t>
        <w:br/>
        <w:t>20. Dominik Wehrmann</w:t>
        <w:br/>
        <w:t>21. Katja Wehrmann</w:t>
        <w:br/>
        <w:t>22. Ines Wehrmann</w:t>
        <w:br/>
        <w:t>- Participants -</w:t>
        <w:br/>
        <w:t>Legal representatives for 1–3:</w:t>
        <w:br/>
        <w:t>Lawyers Gleiss Lutz Hootz Hirsch</w:t>
        <w:br/>
        <w:t>Maybachstr. 6</w:t>
        <w:br/>
        <w:t>70469 Stuttgart</w:t>
        <w:br/>
        <w:t>regarding a procedure initiated ex officio to examine a merger that has already been completed according to § 36 para. 1 of the Act against Restraints of Competition (hereinafter: GWB), the 4th Decision Division of the Federal Cartel Office decided on September 24, 2003:</w:t>
        <w:br/>
        <w:t>1. The unregistered merger completed on December 20, 1999, between Homag AG, Schopfloch, and IMA AG, Gütersloh, will not be prohibited.</w:t>
        <w:br/>
        <w:t>2. The fee for the clearance is set at</w:t>
        <w:br/>
        <w:t>…[...]</w:t>
        <w:br/>
        <w:t>(in words: [...] EURO)</w:t>
        <w:br/>
        <w:t>and imposed on the participants 1 to 22 as joint debtors.</w:t>
        <w:br/>
        <w:t>*U</w:t>
        <w:br/>
        <w:t>1. On December 20, 1999, the participant 1 completed the merger with IMA AG, Gütersloh, whose leading production company is participant 2, without having registered this merger in advance according to §§ 35 ff. GWB with the Federal Cartel Office. Upon inquiry from the Decision Division, the registration of this merger was rejected on December 16, 1999, by the legal representative of participant 1 with the justification that immediately prior to the merger, five subsidiaries of IMA AG had been predominantly separated from it, so that they were no longer connected to it in the sense of § 36 para. 2 GWB. The consolidated total turnover of the merger participants without these subsidiaries amounting to 991.1 million DM did not exceed the threshold for review according to § 35 para. 1 no. 1 GWB.</w:t>
        <w:br/>
        <w:t>2. In connection with another merger control procedure (B4 – 125/01), the Decision Division received indications from market participants that at least four of the allegedly spun-off companies and participant 2 were acting uniformly in the market and coordinating their behavior in a market-related manner. These indications were supported by a uniform internet presence, identical foreign sales companies, and personnel interconnections between the managements of participant 2 and three of the supposedly spun-off subsidiaries. This indicated that the allegedly spun-off companies, contrary to the statements of the representative of participants 1 to 3 from December 1999, were under the control of participant 3 at the time of the merger and were thus connected to it in the sense of § 36 para. 2 sentence 1 GWB. The attribution of the revenues of a single subsidiary at the time of the merger would have triggered the notification obligation.</w:t>
        <w:br/>
        <w:t>3. To clarify the facts, the Federal Cartel Office ordered on April 5, 2002, the inspection and examination of the business documents of the companies involved in the merger as well as the affected subsidiaries and conducted this review on May 16, 2002. The evaluation of the secured documents and the statement of the chairman of the board of participant 3 from July 12, 2002, before the Decision Division revealed that the supposedly spun-off companies were connected to one of the companies involved in the merger at the time of the execution according to § 36 para. 2 GWB and therefore the merger would have been subject to notification. The details of the investigation results and the considerations of the Decision Division were communicated to the legal representative of participants 1 to 3 in a letter dated July 31, 2002. In this, the Decision Division also informed the participants that it would conduct the merger control procedure ex officio. In a letter dated July 3, 2003, the Decision Division informed the participants involved in the merger that it had entered the main examination procedure (§ 40 para. 1 GWB). The participants did not register the merger with the Federal Cartel Office nor did they notify its execution.</w:t>
      </w:r>
    </w:p>
    <w:p>
      <w:r>
        <w:rPr>
          <w:b/>
        </w:rPr>
        <w:t>[Pages 4–6]</w:t>
      </w:r>
    </w:p>
    <w:p>
      <w:r>
        <w:t>will. With a letter dated July 3, 2003, the decision-making department informed the parties involved in the merger that it had entered into the main examination procedure (§ 40 para. 1 GWB). The parties have neither registered the merger with the Federal Cartel Office nor notified its implementation.</w:t>
      </w:r>
    </w:p>
    <w:p>
      <w:r>
        <w:t>4. The parties 1 and 2 produce and distribute machines and systems for wood processing and woodworking worldwide for the panel processing furniture and construction element industry and the corresponding crafts.</w:t>
      </w:r>
    </w:p>
    <w:p>
      <w:r>
        <w:t>5. The party 1 belonged to the Homag Group as a manufacturing company with numerous subsidiaries, including Hornberger Vertriebsbeteiligungs GmbH with foreign sales companies as well as Schuler Business Solutions AG, which operates in the fields of consulting and software. The shares in Homag AG were held by several natural persons, Deutsche Beteiligungs AG Unternehmensbeteiligungsgesellschaft, and Deutsche Bank AG. In the business year preceding the merger in 1998, the Homag Group achieved a worldwide turnover of 801.4 million DM, of which DM [...] million was attributable to the domestic market.</w:t>
      </w:r>
    </w:p>
    <w:p>
      <w:r>
        <w:t>6. Like party 1, the IMA Group was also engaged in the production and distribution of machines and systems for wood processing and woodworking for industry and crafts, particularly for panel processing (furniture and construction element manufacturing). The head of the IMA Group was IMA AG, Lübbecke. The shares in IMA AG were held by parties 5 to 22, as well as by the now deceased Erich and Hanna Klessmann, whose legal successor is party 4.</w:t>
      </w:r>
    </w:p>
    <w:p>
      <w:r>
        <w:t>7. IMA AG included five foreign sales companies and seven manufacturing subsidiaries. Particularly relevant in the present proceedings are the following five production companies that were allegedly spun off before the merger:</w:t>
        <w:br/>
        <w:t>• Torwegge GmbH &amp; Co. KG, Löhne, and Hüllhorst GmbH &amp; Co., Bad Oeyenhausen, primarily manufactured machines for solid wood processing, focusing on the production of construction elements, with Torwegge specializing in double-end profiling and Hüllhorst in machining centers and routers.</w:t>
        <w:br/>
        <w:t>• Wehrmann GmbH, Barntrup, is active in consulting as well as the refurbishment and trade of used machines.</w:t>
        <w:br/>
        <w:t>• MAW/Nottmeyer GmbH, Herford, produced fitting and assembly devices as well as drilling machines and drilling automats.</w:t>
        <w:br/>
        <w:t>• IMA Meinert GmbH &amp; Co. KG, Porta Westfalica, manufactures machines and systems needed for handling and transport in wood processing, such as stacking systems and vacuum packing systems.</w:t>
      </w:r>
    </w:p>
    <w:p>
      <w:r>
        <w:t>8. In the business year 1998/99, the IMA Group (including the mentioned subsidiaries) generated sales revenues of 370.5 million DM worldwide, of which DM [...] million were in Germany.</w:t>
      </w:r>
    </w:p>
    <w:p>
      <w:r>
        <w:t>9. On December 20, 1999, party 1 executed the merger with IMA AG, Gütersloh, whose leading production company is party 2, by establishing a holding company, party 3, into which the shares of party 1 were contributed and which then merged with IMA AG through absorption. According to the parties, the registration of the merger in the commercial register took place on December 20, 1999. The merger of IMA AG into party 3 under § 20 para. 1 of the Transformation Act fulfills the merger criterion of asset acquisition under § 37 para. 1 no. 1 GWB.</w:t>
      </w:r>
    </w:p>
    <w:p>
      <w:r>
        <w:t>10. Therefore, the question of whether party 3 also acquired control in the sense of § 37 para. 1 no. 2 GWB over the allegedly spun-off subsidiaries of the IMA Group is not decisive for affirming the existence of a merger criterion. Even if one assumes that the conclusion of the underlying contractual agreement between the shareholders of the future party 3 on November 26, 1999, created a joint control group in the sense of § 18 para. 2 of the Stock Corporation Act regarding the allegedly spun-off subsidiaries, the merger on December 20, 1999, constitutes a merger criterion that has further strengthened a possibly already existing corporate connection. Therefore, it can remain open whether party 2 was already connected to party 3 in a joint control group before this date.</w:t>
      </w:r>
    </w:p>
    <w:p>
      <w:r>
        <w:t>11. After the execution of the merger, the share capital of party 3 was held by [...] and [...]. With [...] being the largest shareholder, party 3 holds 100% of the shares in the subgroups of parties 1 and 2.</w:t>
      </w:r>
    </w:p>
    <w:p>
      <w:r>
        <w:t>12. The GWB is applicable to the present case according to § 130 para. 2 GWB. The domestic effect arises from the fact that the participating companies have their registered office in the domestic market and generate revenues here. The applicability of the GWB is also not excluded according to § 35 para. 3 GWB, as the merger does not fall under the jurisdiction of the European Commission according to Art. 1 (1), 21 (2) of the Merger Regulation. The worldwide turnover of the participating companies does not reach the ... 250 million euro threshold of Art. 1 (3) lit. a) of the Merger Regulation in either the year of the merger or the business year preceding this decision, so the merger does not have community-wide significance.</w:t>
      </w:r>
    </w:p>
    <w:p>
      <w:r>
        <w:t>13. The already executed merger is subject to control according to the findings of the decision-making department under § 35 para. 1 GWB, because the participating companies, taking into account § 36 para. 2 GWB, generated worldwide sales revenues of more than DM 1 billion in both the year of the merger and the business year preceding the present decision, with domestic revenues exceeding ... DM 250 million. According to the letter from the authorized representative of party 1 dated December 16, 1999, the Homag Group achieved revenues of 801.4 million DM worldwide in 1998, while the IMA Group achieved revenues of 370.5 million DM. In 2002, the revenue of party 1 was ... million DM, while the spun-off companies also generated ... million DM.</w:t>
      </w:r>
    </w:p>
    <w:p>
      <w:r>
        <w:t>14. Although parties 1 to 3 dispute the existence of the notification obligation by referring to the alleged spin-off of the mentioned subsidiaries, the consolidated revenues of the companies involved in the merger without these subsidiaries amount to 991.1 million DM in the business year before the merger. It is sufficient to demonstrate that only one of these subsidiaries was connected to the acquiring or target company at the time of the merger in the sense of § 36 para. 2 GWB, as each of these subsidiaries generated revenues of over 10 million DM in the business year preceding the merger.</w:t>
      </w:r>
    </w:p>
    <w:p>
      <w:r>
        <w:t>15. According to § 36 para. 2 sentence 1 GWB, only the revenues of companies are to be aggregated where a dependency or control relationship in the sense of § 17 of the Stock Corporation Act or a corporate group in the sense of § 18 of the Stock Corporation Act is to be assumed. This is extended by the multi-parent clause of § 36 para. 2 sentence 2 GWB, according to which, in the case of joint control, each company is considered dominant. The possibility of control requires a legally established bond. A majority stake is not necessary if central competition-relevant decisions (market orientation, investments, personnel policy) can be determined through additional agreements. According to the multi-parent clause, it is sufficient if the jointly controlling parties cooperate in other ways, not only through a contractual bond. It</w:t>
      </w:r>
    </w:p>
    <w:p>
      <w:r>
        <w:rPr>
          <w:b/>
        </w:rPr>
        <w:t>[Pages 7–9]</w:t>
      </w:r>
    </w:p>
    <w:p>
      <w:r>
        <w:t>requires only a conscious and intentional cooperation with a certain degree of planning based on a common will to dominate.</w:t>
      </w:r>
    </w:p>
    <w:p>
      <w:r>
        <w:t>16. According to these principles, the joint clause of § 36 para. 2 GWB [...] did not occur at the time of the merger with the exclusive separation of the aforementioned subsidiaries to a company not involved in the merger. Although the participant 3 initially retained only minority stakes in the relevant subsidiaries, which varied between [...] and [...]. The majority shareholder of the companies Torwegge ([...]), Hüllhorst ([...]), and Meinert ([...]) became [...]. In the case of the companies Wehrmann and MAW Nottmeyer, there was no majority shareholder, however [...]. At the same time, [...] was a minority shareholder of participant 3. The shareholding relationships in the supposedly separated subsidiaries [...] initially appeared as follows:</w:t>
      </w:r>
    </w:p>
    <w:p>
      <w:r>
        <w:t>Wehrmann GmbH [...]</w:t>
        <w:br/>
        <w:t>[...]</w:t>
        <w:br/>
        <w:t>[...]</w:t>
        <w:br/>
        <w:t>MAW Nottmeyer GmbH [...]</w:t>
        <w:br/>
        <w:t>[...]</w:t>
        <w:br/>
        <w:t>[...]</w:t>
        <w:br/>
        <w:t>Meinert GmbH &amp; Co.KG [...]</w:t>
        <w:br/>
        <w:t>[...]</w:t>
        <w:br/>
        <w:t>[...]</w:t>
        <w:br/>
        <w:t>Hüllhorst GmbH &amp; Co. [...]</w:t>
        <w:br/>
        <w:t>[...]</w:t>
        <w:br/>
        <w:t>Torwegge GmbH &amp; Co.KG [...]</w:t>
        <w:br/>
        <w:t>[...]</w:t>
      </w:r>
    </w:p>
    <w:p>
      <w:r>
        <w:t>17. According to the findings of the decision-making department, despite the position of participant 3 as a minority shareholder since early November 1999 and at least until May 2002, central corporate decisions for the supposedly separated subsidiaries were made and enforced by representatives of participants 1 to 3. The relevant investigative results of the decision-making department were communicated to the participants in detail by letter dated July 31, 2002. In summary, the control over the supposedly separated subsidiaries results from the following: The decisions made by the management body of the group regarding the subsidiaries concerned, among other things, the merging of companies, investments, planning targets for achieving certain sales figures, focus on product structure, and selection of logos. Furthermore, the strategic realignment regarding products and investments for the subsidiaries was developed by the chairman of the supervisory board of participant 1, Mr. Schuler, with the explicit indication of a control of these companies by participant 2. In addition, the staffing of the management of the subsidiaries was discussed. The coordination of the various group companies with the supposedly separated subsidiaries was ensured by a multitude of teams and commissions, some of which had already been planned before the merger and some of which had already met before the merger.</w:t>
      </w:r>
    </w:p>
    <w:p>
      <w:r>
        <w:t>18. From all of this, it follows that beyond the time of the merger, the supposedly separated companies were de facto managed by participant 3. This influence of participant 3 on the business activities of the supposedly separated subsidiaries was not disputed by the chairman of the board of participants 1 and 3 in a meeting with the decision-making department on July 12, 2002. To what extent the facts can be assessed either as the exercise of sole control by participant 3 or as joint control by participant 3 and [...] or as a de facto equal-ranking group under the management body "Lignum Management Meeting" can remain open, as each of the three scenarios results in the attribution of the revenues of the subsidiaries according to § 36 para. 2 GWB.</w:t>
      </w:r>
    </w:p>
    <w:p>
      <w:r>
        <w:t>19. When considering the current revenues of participants 1 and 2 amounting to a total of ... (cid:3)(cid:25)(cid:19)(cid:24)(cid:15)(cid:26)(cid:3) million, even independent of an attribution of the revenues of the supposedly separated subsidiaries. Therefore, it is also not decisive that two of these companies are undisputedly connected with participant 3 in the sense of § 36 para. 2 GWB. This occurred due to the following changes in the corporate structure:</w:t>
        <w:br/>
        <w:t>• The stakes of IMA AG in the mentioned subsidiaries, which transferred to participant 3 with the merger, were contributed to participant 2 at the end of 2000 – with the exception of the stakes in Wehrmann GmbH.</w:t>
        <w:br/>
        <w:t>• [...]</w:t>
        <w:br/>
        <w:t>• [...]</w:t>
        <w:br/>
        <w:t>• [...]</w:t>
      </w:r>
    </w:p>
    <w:p>
      <w:r>
        <w:t>20. The conditions of the connection clause (§ 35 para. 2 sentence 1 no. 1 GWB) are not met.</w:t>
      </w:r>
    </w:p>
    <w:p>
      <w:r>
        <w:t>21. The notification obligation of the merger is also not waived according to § 35 para. 2 sentence 1 no. 2 GWB. According to this, the provisions on merger control do not apply insofar as a market is affected on which goods or commercial services have been offered for at least five years and on which in the last calendar year less than ... (cid:3)(cid:20)(cid:24)(cid:3) million were generated. The decisive factor is solely the turnover achieved domestically, even if economically a market extending beyond the federal territory is to be assumed. This exception provision does not affect the present case regarding the notification obligation, as the markets affected by the merger for industrial milling machines and craft milling machines exceed the revenue threshold. Thus, the market volume in this market in Germany in 2002 amounted to ... (cid:3) 35.7 million according to the participants.</w:t>
      </w:r>
    </w:p>
    <w:p>
      <w:r>
        <w:t>22. The question of the applicability of the de minimis market clause is, however, significant beyond the notification obligation, as those markets that meet the requirements of § 35 para. 2 sentence 1 no. 2 GWB are also exempt from substantive merger control. Therefore, despite the existence of the notification obligation regarding the milling machine markets, it was necessary to examine whether the merger affected markets that fall under the exception provision of § 35 para. 2 sentence 1 no. 2 GWB.</w:t>
      </w:r>
    </w:p>
    <w:p>
      <w:r>
        <w:t>23. For this examination, only the timing of this decision was decisive. Although the provision of § 35 para. 2 no. 2 GWB refers in its wording to the revenues in the business year preceding the merger; this relates to the preventive merger control, which could not be conducted in this case due to the participants' violation of the prohibition of execution of § 41 para. 1 sentence 1 GWB. If one were to refer today according to the wording of the de minimis market clause to the business year preceding the execution of the merger, markets that have since become de minimis markets would also have to be included in the examination of § 36 para. 1 GWB. This could result in the merger being prohibited due to the presence of the prohibition conditions in a market that today falls below the de minimis threshold.</w:t>
      </w:r>
    </w:p>
    <w:p>
      <w:r>
        <w:rPr>
          <w:b/>
        </w:rPr>
        <w:t>[Pages 10–12]</w:t>
      </w:r>
    </w:p>
    <w:p>
      <w:r>
        <w:t>although the parties could immediately notify the same merger without such a prohibition being possible. Consequently, it is irrelevant whether - as suggested by the revenue figures resulting from the so-called dynamic strategy of the parties - in the business year preceding the merger in 1998, revenues of over ... (cid:3)(cid:20)(cid:24)(cid:3)million were generated in other markets. The conditions of § 35 para. 2 sentence 1 no. 2 GWB are fulfilled at the time of this decision.</w:t>
      </w:r>
    </w:p>
    <w:p>
      <w:r>
        <w:t>24. This is the case for the following manufacturing markets (for market delineation see below VII.1.). Because in these markets, goods have been offered and demanded for more than five years, and the revenue volumes achieved in Germany in 2002 amounted to less than ... (cid:3)(cid:20)(cid:24)(cid:3)million according to the findings of the decision-making department:</w:t>
        <w:br/>
        <w:t>• Edge banding machines for industry – market volume ... (cid:3)(cid:27)(cid:15)(cid:25)(cid:3)million</w:t>
        <w:br/>
        <w:t>• Edge banding machines for crafts – market volume ... (cid:3)(cid:26)(cid:15)(cid:25)(cid:3)million</w:t>
        <w:br/>
        <w:t>• Combination machines – market volume ... (cid:3)(cid:20)(cid:21)(cid:15)(cid:24)(cid:3)million</w:t>
        <w:br/>
        <w:t>• Postforming machines – market volume ... (cid:3)(cid:21)(cid:3)million</w:t>
        <w:br/>
        <w:t>• Double-end profilers – market volume ... (cid:3)(cid:20)(cid:19)(cid:15)(cid:23)(cid:3)million</w:t>
        <w:br/>
        <w:t>• Machining centers with gluing technology – market volume ... (cid:3)(cid:20)(cid:19)(cid:15)(cid:22)(cid:3)million</w:t>
      </w:r>
    </w:p>
    <w:p>
      <w:r>
        <w:t>25. Since several markets are affected by the merger, on which revenues of less than ... (cid:3)(cid:20)(cid:24)(cid:3)million were generated, these trivial markets can be summarized for the determination of revenue volumes, with the result that the trivial market clause is not applicable. According to the case law of the BGH, several local trivial markets can be aggregated for revenue calculation at least when the relevant markets are covered by comprehensive organizational structures of the participating companies and the relevant markets together achieve an overall economic significance.</w:t>
      </w:r>
    </w:p>
    <w:p>
      <w:r>
        <w:t>26. According to the Bundeskartellamt, the same applies when the merger affects several substantive trivial markets. The exception provision of § 35 para. 2 sentence 1 no. 2 GWB is therefore not applicable at least when the participating companies pursue a uniform corporate policy in the substantive trivial markets, the total revenues in these markets exceed the threshold of § 35 para. 2 sentence 1 no. 2 GWB, and the competitive conditions in these markets cannot be considered independently of each other.</w:t>
      </w:r>
    </w:p>
    <w:p>
      <w:r>
        <w:t>27. Although the total revenues achieved in the mentioned markets together exceed the threshold of § 35 para. 2 sentence 1 no. 2 GWB; however, according to the findings of the decision-making department, there is a lack of uniformity of competitive conditions in the aforementioned sense. According to the findings of the decision-making department, the Italian companies SCM and Biesse are significant competitors of the merger participants in all the mentioned markets (with the exception of the market for machining centers with gluing technology); however, there are numerous manufacturers that have concentrated only on one or a few of these markets. The same applies to the demand side: Producers of kitchen furniture demand completely different machines than manufacturers of building elements (e.g., flooring) and manufacturers of solid wood furniture. In particular, combination machines, postforming machines, and machining centers are extremely specialized machines that are only used in a very narrow area and consequently only by individual buyers.</w:t>
      </w:r>
    </w:p>
    <w:p>
      <w:r>
        <w:t>Moreover, it is only with great difficulty that individual manufacturers can adjust their offerings to produce a different type of machine due to the different technical requirements and the necessary corresponding know-how. Even for a large manufacturer of a machine type based on continuous technology, it would only be possible at best in the medium to long term and with high costs to develop another machine type with continuous technology, as the process and control technologies of the individual machines exhibit significant differences. It would therefore be necessary to hire designers with the corresponding know-how. For example, the participant 1 has stated that it took five years to develop a combination machine (a machine with the functions of an edge banding machine and a double-end profiler), although it had years of experience in manufacturing edge banding machines, collaborated with a manufacturer of double-end profilers for development, and the basic machine was provided by another company.</w:t>
      </w:r>
    </w:p>
    <w:p>
      <w:r>
        <w:t>The transition from manufacturing craft machines to industrial machines is even more difficult, as the difficulty of customer acquisition adds another obstacle. Industrial buyers tolerate no machine downtime due to the high prices for industrial machines and are therefore reluctant to purchase a machine from a supplier who lacks any market knowledge and brand reputation in the industrial sector. A special situation exists with machining centers with gluing technology: These machines cannot be produced by other manufacturers because they are a patented invention of participant 2, for which participant 1 has held an exclusive license since 1990.</w:t>
      </w:r>
    </w:p>
    <w:p>
      <w:r>
        <w:t>Furthermore, participant 1 has a "dual distribution system." While the distribution of industrial machines occurs directly from participant 1 to the customers, regional distributors or independent sales representatives are involved in the distribution of craft machines. These dealers are restricted to the distribution of craft machines according to the distribution dealer contract and the corresponding framework agreement. Such a separation does not exist with participant 2, as this company, according to the participants, only generates ... of its revenue with craft machines; however, both companies market the craft machines under a product class with its own name ("Optimat" or "Expert"). According to the findings of the decision-making department, there is no distribution in the assortment. Finally, the decision-making department could not demonstrate joint investment plans for the individual markets. Rather, according to the participants, a separate calculation is made for each type of machine.</w:t>
      </w:r>
    </w:p>
    <w:p>
      <w:r>
        <w:t>28. Based on these findings, the decision-making department has come to the conclusion that in the present case regarding the aforementioned markets with a market volume of under ... (cid:3)(cid:20)(cid:24)(cid:3)million, the conditions of § 35 ff. GWB are not applicable.</w:t>
      </w:r>
    </w:p>
    <w:p>
      <w:r>
        <w:t>29. The decision-making department was not bound by the one-month deadline of § 40 para. 1 sentence 1 GWB in conducting the merger control procedure, as this provision ties the deadline to the complete notification of the merger to the Bundeskartellamt, which did not occur in the present case. The analogous application of the deadline regime of § 40 GWB is, according to literature, at best applicable from the time of...</w:t>
      </w:r>
    </w:p>
    <w:p>
      <w:r>
        <w:rPr>
          <w:b/>
        </w:rPr>
        <w:t>[Pages 13–15]</w:t>
      </w:r>
    </w:p>
    <w:p>
      <w:r>
        <w:t>Anzeige des vollzogenen Zusammenschlusses diskutiert, which has also not occurred in this case. The lack of the deadline running is not countered by the notification of July 3, 2003, that the decision-making division has entered the main examination procedure, as it merely occurred to fulfill one of the legally prescribed formal prerequisites for prohibition (cf. § 40 para. 2 sentence 1 GWB).</w:t>
      </w:r>
    </w:p>
    <w:p>
      <w:r>
        <w:t>30. The merger concerns the areas of production and distribution of machines and systems for wood processing and woodworking for industry and craft, particularly for furniture and building component manufacturing. This area encompasses the entire range of machines required by the wood processing industry and craft. This includes, for example, machines and systems for the production of wood fiber materials, electric hand tools, machines for solid wood as well as machines for particle board processing. Due to the significant differences between the individual machines, it is not appropriate to assume a total market for wood processing machines (as already stated in B4 – 125/01).</w:t>
      </w:r>
    </w:p>
    <w:p>
      <w:r>
        <w:t>According to established legal and administrative practice, the delineation of supply markets is carried out in accordance with the demand market concept based on functional interchangeability from the perspective of the purchaser. Accordingly, the relevant market includes all goods that are so closely related in terms of characteristics, intended use, and price that they are substitutable for the satisfaction of a specific need from the perspective of the reasonable consumer.</w:t>
      </w:r>
    </w:p>
    <w:p>
      <w:r>
        <w:t>31. In accordance with this principle, the decision-making division believes that a distinction should first be made between machines for industry on the one hand and machines for craft on the other. Although the machines for both customer groups have the same basic functions, there are significant differences in terms of price, performance, and output. The machines for craft are largely standard machines up to a price limit of approximately ... (cid:3)(cid:20)(cid:19)(cid:19)(cid:17)(cid:19)(cid:19)(cid:19)(cid:15)(cid:3)I(cid:129)U(cid:3)GLH(cid:3)GHU(cid:3)(UNOlUXQJVEHGDUI(cid:3)JHULQJ(cid:3)LVW(cid:3)XQG(cid:3)GLH, and can therefore be marketed as "catalog goods." Unlike industrial machines, they cannot be integrated into fully automated production lines. Industrial machines, on the other hand, are individually tailored to the respective customer in their aggregates.</w:t>
      </w:r>
    </w:p>
    <w:p>
      <w:r>
        <w:t>These differences are also taken into account by the parties involved as well as some of their competitors, who differentiate between industrial and craft customers from a marketing and sales perspective. For example, Participant 1 directly serves its industrial customers, while it employs dealers for the distribution of its craft machines and markets these products under a separate product class. The Italian competitor Biesse has also introduced its own brand for craft machines. Furthermore, within the group of Participant 1, production is sometimes divided. For instance, Participant 1 itself produces routers and edge banding machines for industry, while its subsidiaries Weeke and Brandt manufacture the corresponding craft machines. Finally, there are independent trade fairs for craft machines.</w:t>
      </w:r>
    </w:p>
    <w:p>
      <w:r>
        <w:t>32. Furthermore, within the industrial and craft machines, machines with continuous technology on the one hand and machines with stationary technology on the other cannot be assigned to a uniform market. In processing with continuous technology, the processing operations are so automated that the workpiece is automatically transported to the next processing station within the machine. Accordingly, continuous technology allows for the output of significantly larger batch sizes than stationary technology, where the workpiece is firmly clamped in the machine and the machine's tools move around the workpiece. In contrast, stationary technology also allows for the processing of so-called individual freeform surfaces (e.g., round tabletops), while continuous technology can only process straight workpieces (e.g., cabinet sides, shelves). Although it is technically possible to process right-angled parts with stationary technology, economically this is only sensible for very small quantities. Therefore, machines with continuous technology are predominantly used in series production. Among the machine types relevant here, double-end profilers, edge banding machines, combination machines, and postforming machines operate with continuous technology, while machining centers and routers operate with stationary technology. Due to the separation between machines with continuous technology and machines with stationary technology, edge banding machines are not interchangeable with machining centers in terms of the demand market concept, even though they also have gluing technology alongside other functions. For the same reasons, routers and double-end profilers also belong to different markets, even though both have a milling function.</w:t>
      </w:r>
    </w:p>
    <w:p>
      <w:r>
        <w:t>33. A further differentiation is finally required according to the processing function of the machines: Although edge banding machines, combination machines, and postforming machines all fulfill the function of gluing edges, they are not interchangeable with each other. "Simple" edge banding machines coat narrow surfaces on rectangular panel materials with veneer, plastic, or solid wood edges. In contrast, combination machines additionally include the function of a format processing machine, meaning that a workpiece can be both formatted and glued in one pass. This additional technology, as well as their higher feed speed (30 – 80 m/min compared to 20 m/min), makes combination machines significantly more expensive than "simple" edge banding machines. While industrial edge banding machines range from ... (cid:3)(cid:20)(cid:19)(cid:19)(cid:17)(cid:19)(cid:19)(cid:19)(cid:3)XQG to approximately ... (cid:3)(cid:24)(cid:19)(cid:19)(cid:17)(cid:19)(cid:19)(cid:19)(cid:3)NRVWHQ(cid:15)(cid:3)UHLFKW(cid:3)GLH(cid:3)3UHLVVSDQQH(cid:3)GHU(cid:3).RPELQDWLRQVPDVFKLQHQ(cid:3)ELV(cid:3)ZHLW(cid:3) over ... (cid:3)(cid:20)(cid:3)0LR(cid:17)(cid:3)(cid:3)$XV(cid:3)6LFKW(cid:3)GHV(cid:3),QGXVWULHNXQGHQ(cid:3)LVW(cid:3)HLQH(cid:3).DQWHQDQOHLPPDVFKLQH(cid:3)DXFK(cid:3)LQ(cid:3) connection with a double-end profiler (which performs the format processing) is not interchangeable with a combination machine. Although both variants allow for the same processing functions, the combination of the two machines is significantly less economical, and the result achieved is less accurate and precise due to the interface. Furthermore, the combination of machines requires more space and additional personnel at the interface between the machines. Therefore, edge banding machines and combination machines are to be assigned to separate markets.</w:t>
      </w:r>
    </w:p>
    <w:p>
      <w:r>
        <w:t>34. Again, postforming machines form a separate relevant market according to the demand market concept, as they have a different, very specific area of application compared to classic edge banding machines. Postforming machines glue the edges of highly stressed or moisture-exposed panels in such a way that the glue joint – unlike with edge banding machines – is located outside the edge area (e.g., on the underside of kitchen countertops). This process is entirely different from the process of classic edge gluing: With the postforming process, only laminate-coated panels can be processed. The machine first formats the edge so that the laminate layer protrudes at the edge. It then applies glue to the edge, adds heat, bends the edge around, and presses it. In contrast, with the edge banding machine, the edge material is simply applied.</w:t>
      </w:r>
    </w:p>
    <w:p>
      <w:r>
        <w:rPr>
          <w:b/>
        </w:rPr>
        <w:t>[Pages 16–18]</w:t>
      </w:r>
    </w:p>
    <w:p>
      <w:r>
        <w:t>visible glue joints, which can allow moisture to penetrate, potentially leading to swelling of the material.</w:t>
      </w:r>
    </w:p>
    <w:p>
      <w:r>
        <w:t>The lack of flexibility in switching between edge banding, combination, and postforming machines has already been addressed above.</w:t>
      </w:r>
    </w:p>
    <w:p>
      <w:r>
        <w:t>35. Another relevant market consists of double-end profile machines. These are milling machines with through-feed technology that produce parallel profiles (e.g., tongue and groove) on both sides of a workpiece. Whether there are three separate markets within double-end profile machines, as the parties claim, for flooring production, the production of other building components, and furniture production, remains open, since even with the broadest possible market definition, the de minimis market threshold is not exceeded (see below).</w:t>
      </w:r>
    </w:p>
    <w:p>
      <w:r>
        <w:t>36. As a separate market, processing centers with gluing technology should also be considered. They allow for the gluing of workpiece edges of freeform surfaces, format their edges, and glue these edges; thus, they fulfill the functions of both an edge banding machine and a milling machine. However, unlike edge banding machines and double-end profile machines, they operate with stationary and not through-feed technology and are therefore not interchangeable with these machines. Finally, routers cannot be assigned to this market. Although routers are also milling machines that operate with stationary technology, they do not perform the other functions of the processing center and can process not only wood materials but also aluminum, glass, plastic sheets, drywall, stone, and other materials. Due to this expanded range of applications, routers are demanded by completely different customers than all the other machines mentioned above.</w:t>
      </w:r>
    </w:p>
    <w:p>
      <w:r>
        <w:t xml:space="preserve">37. As a result of the investigations, the following relevant manufacturing markets affected here should be assumed: </w:t>
        <w:br/>
        <w:t xml:space="preserve">• Edge banding machines for industry </w:t>
        <w:br/>
        <w:t xml:space="preserve">• Edge banding machines for crafts </w:t>
        <w:br/>
        <w:t xml:space="preserve">• Combination machines (industry) </w:t>
        <w:br/>
        <w:t xml:space="preserve">• Postforming machines (industry) </w:t>
        <w:br/>
        <w:t xml:space="preserve">• Double-end profile machines </w:t>
        <w:br/>
        <w:t xml:space="preserve">• Processing centers with gluing technology for industry </w:t>
        <w:br/>
        <w:t xml:space="preserve">• Processing centers with gluing technology for crafts </w:t>
        <w:br/>
        <w:t xml:space="preserve">• Routers for industry </w:t>
        <w:br/>
        <w:t>• Routers for crafts.</w:t>
      </w:r>
    </w:p>
    <w:p>
      <w:r>
        <w:t>38. The relevant spatial market, from an economic perspective, is to be defined in such a way that it encompasses the area in which the merger participants are exposed to effective competition from current competitors in the sale of the relevant products, where the competitive conditions are sufficiently homogeneous, and which differs from neighboring areas by noticeably different competitive conditions. This market may, depending on the circumstances of the individual case, be larger than the territory of the Federal Republic. In contrast, the market relevant for determining the requirements of § 36 para. 1 GWB, according to the case law of the BGH, is at most as large as the federal territory. Even if the economically relevant markets extend beyond these boundaries, a merger can only be prohibited if it leads to the creation or strengthening of a dominant market position in the domestic market.</w:t>
      </w:r>
    </w:p>
    <w:p>
      <w:r>
        <w:t>39. The participating companies are of the opinion that the relevant spatial market from an economic perspective should be defined at least on a European scale, if not globally. This is supported, on the one hand, by the extremely high export share in the entire industry. According to a press release from the Woodworking Machinery Association of the VDMA dated June 3, 2003, the export quota in 2002 was 66%, with some sub-sectors reaching up to 90%. Of this export, approximately 45% was attributed to Western Europe, 17% to Eastern Europe, 14.3% to Asia, and 13.6% to North America. The largest national markets are the USA, France, Italy, Russia, and China. These figures correspond with those of the parties, who report an export share of approximately 80%. Participant 1 generates about half of its revenue abroad in Europe. Similar figures, namely an export quota of about 77%, are also reported by the Italian Association of Manufacturers of Woodworking Machinery ACIMALL for its member companies.</w:t>
      </w:r>
    </w:p>
    <w:p>
      <w:r>
        <w:t>40. However, for exports to certain countries such as Brazil and India, there are customs barriers according to the parties, which argues against the assumption of a global market. Within the EU, these do not play a role. This also applies, with slight restrictions, to transportation costs, which account for only about 5% of the machine price. National preferences that would indicate a national market are hardly noticeable. All nine industrial customers surveyed by the decision-making department indicated that they would demand their machines on a European scale. Although all pointed out that the presence of local service (in German) is extremely important, foreign manufacturers also provide this service through service and distribution companies in Germany. Likewise, the parties are represented by service companies abroad. Consequently, from an economic perspective, European-wide markets should be assumed.</w:t>
      </w:r>
    </w:p>
    <w:p>
      <w:r>
        <w:t>41. The mentioned industry of woodworking machinery has been suffering since 2001 from the economic weakness of the furniture trade, new housing construction, and the woodworking craft. In particular, the structural and cyclical crisis of the German furniture industry, as the most important customer group for the participating companies, negatively impacts the business results of the participants. According to a statistic from the Woodworking Machinery Association of the VDMA, the production volume in the field of woodworking machinery in Germany decreased by 12% in 2002.</w:t>
      </w:r>
    </w:p>
    <w:p>
      <w:r>
        <w:t>42. Official statistics on market volumes and market shares in the markets relevant to this case are not available. The Woodworking Machinery Association of the VDMA only publishes the production volume of the entire industry as well as the export quota and distinguishes between standard and special machines in its statistics on incoming orders. Figures for individual types of machines are not disclosed. The same applies to the statistics from ACIMALL. The market volumes and market shares on which the decision-making department bases this decision are essentially results of the market analysis conducted by the participating companies. Due to the method by which the parties determine and verify these figures, they exceed mere estimates in their accuracy and reliability and could therefore be used by the decision-making department for assessing the market structure. The statistics provided by the parties were not created for the purpose of use in this merger control procedure but are the result of the "dynamic strategy" developed by the companies over the years, on which the parties base their strategic business decisions in the individual market segments. Consequently, the parties have a strong self-interest in obtaining as accurate and meaningful market data as possible.</w:t>
      </w:r>
    </w:p>
    <w:p>
      <w:r>
        <w:rPr>
          <w:b/>
        </w:rPr>
        <w:t>[Pages 19–21]</w:t>
      </w:r>
    </w:p>
    <w:p>
      <w:r>
        <w:t>43. From the market data collected in this manner, the decision-making department is convinced that the following relevant markets are trivial markets in the sense of § 35 para. 2 sentence 1 no. 2 GWB, as their market volume in the past year in Germany was ... (cid:3)(cid:20)(cid:24)(cid:3) million euros:</w:t>
        <w:br/>
        <w:t>• Edge banding machines for industry: market volume ... (cid:3)(cid:27)(cid:15)(cid:25)(cid:3) million euros,</w:t>
        <w:br/>
        <w:t>• Edge banding machines for crafts: market volume ... 7.6 million euros,</w:t>
        <w:br/>
        <w:t>• Combination machines (always industry): market volume ... (cid:3)(cid:20)(cid:21)(cid:15)(cid:24)(cid:3) million euros,</w:t>
        <w:br/>
        <w:t>• Postforming machines (always industry): market volume ... (cid:3)(cid:21)(cid:3) million euros,</w:t>
        <w:br/>
        <w:t>• Double-end profilers for industry: market volume ... (cid:3)(cid:28)(cid:15)(cid:24)(cid:3) million euros,</w:t>
        <w:br/>
        <w:t>• Double-end profilers for crafts: market volume ... (cid:3)(cid:21)(cid:15)(cid:28) million euros,</w:t>
        <w:br/>
        <w:t>• Machining centers with gluing technology for industry: market volume ... 10.206 million euros,</w:t>
        <w:br/>
        <w:t>• Machining centers with gluing technology for crafts: market volume ... 1.461 million euros.</w:t>
      </w:r>
    </w:p>
    <w:p>
      <w:r>
        <w:t>44. In the last two mentioned markets, the parties are the only providers due to their patent protection, so these figures are secure and did not require the above-described estimation method. Even if certain estimation errors for the market data in the other markets cannot be completely ruled out, the calculated market volumes are in any case far below the trivial market threshold, so that even with significant corrections, the application of § 35 para. 2 sentence 1 no. 2 GWB is out of the question.</w:t>
      </w:r>
    </w:p>
    <w:p>
      <w:r>
        <w:t>45. In determining the market data in the area of routers, the parties have, according to their own statements, considered the 22 most important manufacturers, which they estimate account for about 85% of the global market. According to the parties, there are approximately 100 manufacturers known worldwide. According to the market data submitted by the participating companies, the market volume for the production of routers for industry in Germany in 2002 was ... (cid:3)(cid:31)(cid:3)(cid:23)(cid:19)(cid:3) million euros. Participant 1 achieved sales of [...] in this market in 2002, participant 2 achieved sales of [...] and the 100% subsidiary of participant 1, Weeke Bohrsysteme GmbH, Herzebrock, [...], which corresponds to market shares of &lt; 20%, &lt; 20%, and &lt; 5%, respectively. The competitive situation is summarized as follows:</w:t>
      </w:r>
    </w:p>
    <w:p>
      <w:r>
        <w:t>Market share of manufacturers for routers in industry:</w:t>
        <w:br/>
        <w:t>Participant 1 [...] (cid:3)(cid:3)(cid:3)(cid:3)(cid:31)(cid:3)(cid:21)(cid:19)(cid:3)(cid:8)(cid:3)</w:t>
        <w:br/>
        <w:t>Participant 2 [...] (cid:3)(cid:3)(cid:3)(cid:3)(cid:31)(cid:3)(cid:21)(cid:19)(cid:3)(cid:8)</w:t>
        <w:br/>
        <w:t>Weeke (subsidiary of participant 1) [...] (cid:3)(cid:3)(cid:3)(cid:3)(cid:31)(cid:3)(cid:24)(cid:3)(cid:8)</w:t>
        <w:br/>
        <w:t>Reichenbacher (D) [...] (cid:3)(cid:3)(cid:3)(cid:3)(cid:31)(cid:3)(cid:21)(cid:19)(cid:3)(cid:8)</w:t>
        <w:br/>
        <w:t>SCM (I) [...] (cid:3)(cid:3)(cid:3)(cid:3)(cid:31)(cid:3)(cid:21)(cid:19)(cid:3)(cid:8)</w:t>
        <w:br/>
        <w:t>Maka (D) [...] (cid:3)(cid:3)(cid:3)(cid:3)(cid:31)(cid:3)(cid:20)(cid:19)(cid:3)(cid:8)</w:t>
        <w:br/>
        <w:t>Biesse (I) [...] (cid:3)(cid:3)(cid:3)(cid:3)(cid:31)(cid:3)(cid:24)(cid:3)(cid:8)</w:t>
        <w:br/>
        <w:t>Anderson (T) [...] (cid:3)(cid:3)(cid:3)(cid:3)(cid:31)(cid:3)(cid:24)(cid:3)(cid:8)</w:t>
        <w:br/>
        <w:t>HolzHer (D) [...] (cid:3)(cid:3)(cid:3)(cid:3)(cid:31)(cid:3)(cid:24)(cid:3)(cid:8)</w:t>
        <w:br/>
        <w:t>Others [...] (cid:3)(cid:3)(cid:3)(cid:3) (cid:17)(cid:3)(cid:21)(cid:19)(cid:3)(cid:8)</w:t>
      </w:r>
    </w:p>
    <w:p>
      <w:r>
        <w:t>46. In the German market for the production of routers for crafts, the parties estimate a market volume of ... (cid:3)(cid:31)(cid:3)(cid:23)(cid:19)(cid:3) million euros. Of this, only [...], i.e., &lt; 5%, was attributable to participant 1 and ... (cid:3)&gt;(cid:17)(cid:17)(cid:17)@(cid:15)(cid:3)G(cid:17)K(cid:17)(cid:3)(cid:31)(cid:3)(cid:24)(cid:3)(cid:8)(cid:3) to participant 2. In contrast, the subsidiary Weeke has a significantly higher market share (20%), achieving sales of ... (cid:3)&gt;(cid:17)(cid:17)(cid:17)@(cid:3) million euros and thus is the second strongest provider in this market. The overview shows the following market shares:</w:t>
      </w:r>
    </w:p>
    <w:p>
      <w:r>
        <w:t>Market share of manufacturers for routers in crafts:</w:t>
        <w:br/>
        <w:t>Participant 1 [...] (cid:3)(cid:3)(cid:3)(cid:3)(cid:31)(cid:3)(cid:3)(cid:24)(cid:3)(cid:8)(cid:3)</w:t>
        <w:br/>
        <w:t>Participant 2 [...] (cid:3)(cid:3)(cid:3)(cid:3)(cid:31)(cid:3)(cid:3)(cid:24)(cid:3)(cid:8)</w:t>
        <w:br/>
        <w:t>Weeke (subsidiary of participant 1) [...] (cid:3)(cid:3)(cid:3)(cid:3)(cid:31)(cid:3)(cid:21)(cid:19)(cid:3)(cid:8)</w:t>
        <w:br/>
        <w:t>SCM (I) [...] (cid:3)(cid:3)(cid:3)(cid:3)(cid:31)(cid:3)(cid:21)(cid:24)(cid:3)(cid:8)(cid:3)</w:t>
        <w:br/>
        <w:t>Biesse (I) [...] (cid:3)(cid:3)(cid:3)(cid:3)(cid:31)(cid:3)(cid:20)(cid:24)(cid:3)(cid:8)</w:t>
        <w:br/>
        <w:t>HolzHer (D) [...] (cid:3)(cid:3)(cid:3)(cid:3)(cid:31)(cid:3)(cid:20)(cid:19)(cid:3)(cid:8)</w:t>
        <w:br/>
        <w:t>Maka (D) [...] (cid:3)(cid:3)(cid:3)(cid:3)(cid:31)(cid:3)(cid:3)(cid:24)(cid:3)(cid:8)</w:t>
        <w:br/>
        <w:t>Anderson (T) [...] (cid:3)(cid:3)(cid:3)(cid:3)(cid:31)(cid:3)(cid:3)(cid:24)(cid:3)(cid:8)</w:t>
        <w:br/>
        <w:t>Reichenbacher (D) [...] (cid:3)(cid:3)(cid:3)(cid:3)(cid:31)(cid:3)(cid:3)(cid:24)(cid:3)(cid:8)</w:t>
        <w:br/>
        <w:t>Others [...] (cid:3)(cid:3)(cid:3)(cid:3)</w:t>
      </w:r>
    </w:p>
    <w:p>
      <w:r>
        <w:t>47. The merger primarily affects the aforementioned trivial markets, which, however, cannot be included in the examination under § 36 para. 1 GWB according to § 35 para. 2 sentence 1 no. 2 GWB. As far as the merger concerns relevant markets that are not trivial markets in the sense of § 35 para. 2 no. 2 GWB, the decision-making department does not expect the creation or strengthening of a dominant position. The conditions of § 36 para. 1 GWB are not met. The relevant time for the examination of the existence of the intervention conditions of § 36 para. 1 GWB for this already completed merger was the time of the issuance of the order.</w:t>
      </w:r>
    </w:p>
    <w:p>
      <w:r>
        <w:t>48. The merger has resulted in the parties holding leading market positions in the manufacturer markets for craft and industrial routers with (cid:31)(cid:3)(cid:21)(cid:24)(cid:3)(cid:8) and (cid:31)(cid:3)(cid:23)(cid:19)(cid:3)(cid:8), respectively. In the area of craft routers, where the merger-related increase was (cid:31)(cid:3)(cid:24)(cid:3)(cid:8) small, the cumulative market share is well below the threshold indicating a dominant position of one third (§ 19 para. 3 sentence 1 GWB) and only slightly higher than the market share of the strongest competitor SCM (cid:31)(cid:3)(cid:21)(cid:24)(cid:3)(cid:8). Furthermore, there are numerous other strong competitors active in this market.</w:t>
      </w:r>
    </w:p>
    <w:p>
      <w:r>
        <w:t>49. In contrast, in the industrial routers market, the strongest and the third strongest company in this market have merged with the parties, resulting in market shares that mathematically indicate market dominance according to § 19 para. 3 sentence 1 GWB. According to this provision, it is presumed that a company is dominant if it has a market share of at least one third. However, the decision-making department is of the opinion that the parties are still exposed to significant competition and do not have a market position that is superior in relation to their competitors.</w:t>
      </w:r>
    </w:p>
    <w:p>
      <w:r>
        <w:t>50. This is evidenced by the fact that the parties have recorded steadily declining sales volumes and market shares since the year 2000, i.e., since the execution of the merger. While their combined market share was still &lt; (cid:23)(cid:24)(cid:3)(cid:8) in 2000, it had already decreased to (cid:31)(cid:3)(cid:23)(cid:19)(cid:3)(cid:8) in 2001. In the first half of 2003, their market share was only (cid:31)(cid:3)(cid:22)(cid:19)(cid:3)(cid:8), thus significantly below the presumption threshold of § 19 para. 3 sentence 1 GWB, while at least the most important of the minimum 20 competitors of the participating companies were able to significantly expand their market shares in the German market. For example, the company Reichenbacher increased its market share from (cid:31)(cid:3)(cid:20)(cid:26)(cid:15)(cid:24)(cid:3)(cid:8) in 2000 to (cid:31)(cid:3)(cid:21)(cid:19)(cid:3)(cid:8) in 2002. The company Maka was even able to more than double its market share, from (cid:31)(cid:3)(cid:24)(cid:3)(cid:8) in 2000 to (cid:31)(cid:3)(cid:20)(cid:19)(cid:3)(cid:8) in 2002. Also, foreign competitors...</w:t>
      </w:r>
    </w:p>
    <w:p>
      <w:r>
        <w:rPr>
          <w:b/>
        </w:rPr>
        <w:t>[Pages 22–24]</w:t>
      </w:r>
    </w:p>
    <w:p>
      <w:r>
        <w:t>Competitors also recorded market share increases, for example, SCM from ...% to ...%. The mentioned shifts in market shares indicate the existence of significant competition.</w:t>
      </w:r>
    </w:p>
    <w:p>
      <w:r>
        <w:t>51. Furthermore, the economically relevant market must be defined on a European level (see above VII.2.). With the amendment of § 19 para. 2 no. 2 GWB in the course of the 6th GWB amendment, it was clarified that when assessing market dominance, the competitive conditions in the economically relevant market must be taken into account. In the European market, the market shares of the parties involved are significantly lower than in Germany. Based on an estimated market volume of ... million euros, the parties involved have a market share of ... (turnover ... million), party 2 has a market share of ... (turnover ... million) and Weeke has a market share of ... (turnover ... million). Together, the parties thus have a market share of &lt; ... and are therefore the second strongest market participant. The market leader is the Italian SCM with a market share of &lt; ... (turnover ...), while the companies Biesse and Reichenbacher each achieve ...%.</w:t>
      </w:r>
    </w:p>
    <w:p>
      <w:r>
        <w:t>Also, the half-year figures for the first half of 2003 indicate a significant decline in the revenues of the involved companies in the European market. They only achieve a market share of &lt; ..., while both SCM (...%) and Biesse (...%) and Reichenbacher (...%) were able to increase their market shares.</w:t>
      </w:r>
    </w:p>
    <w:p>
      <w:r>
        <w:t>52. It should be noted that the market volumes used do not include the revenues of numerous manufacturers of routers that do not come from the woodworking sector and therefore do not appear in the VDMA statistics and the market analyses of the parties involved. Therefore, the market volume used for the calculation of ... million euros is significantly skewed against the parties in the representation of market shares. Since routers are also used for processing other materials (e.g., metal, glass, and plastic) and these materials are increasingly used in furniture and interior construction, there is increasing competitive pressure from machinery companies in these other material sectors. Considering these manufacturers, the German and European market volumes would be larger and the market shares of the involved companies smaller than assumed here.</w:t>
      </w:r>
    </w:p>
    <w:p>
      <w:r>
        <w:t>The parties are therefore exposed to significant competition in both the German and European markets for industrial routers.</w:t>
      </w:r>
    </w:p>
    <w:p>
      <w:r>
        <w:t>53. The merger does not result in any competitively significant increases in financial or technological resources in the market for industrial routers. Neither party 1 nor party 2 possesses specialized know-how in the field of industrial routers. For example, party 1 must purchase ... of the machine components for the production of routers, while specialized router manufacturers can produce numerous components themselves. There are also competitors such as SCM and Biesse with financial strength comparable to that of the parties involved.</w:t>
      </w:r>
    </w:p>
    <w:p>
      <w:r>
        <w:t>54. For the aforementioned reasons, the decision-making department has decided not to prohibit the already completed merger. This order is issued pursuant to § 40 para. 2 sentence 1 GWB.</w:t>
      </w:r>
    </w:p>
    <w:p>
      <w:r>
        <w:t>Against this decision, an appeal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The deadline for the appeal justification is one month. It begins with the receipt of the appeal and can be extended upon request by the presiding judge of the appellate court. The appeal justification must contain the statement of how the decision is contested and the request for its amendment or annulment, and specify the facts and evidence on which the appeal is based.</w:t>
      </w:r>
    </w:p>
    <w:p>
      <w:r>
        <w:t>The appeal and the appeal justification must be signed by a lawyer admitted to a German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