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https://www.bundeskartellamt.de/SharedDocs/Entscheidung/EN/Fallberichte/Kartellverbot/2011/B4-152-07.pdf?__blob=publicationFile&amp;v=4</w:t>
      </w:r>
    </w:p>
    <w:p>
      <w:r>
        <w:t>Pages translated : 9</w:t>
      </w:r>
    </w:p>
    <w:p/>
    <w:p>
      <w:r>
        <w:rPr>
          <w:b/>
        </w:rPr>
        <w:t>[Pages 1–3]</w:t>
      </w:r>
    </w:p>
    <w:p>
      <w:r>
        <w:t xml:space="preserve">1  </w:t>
        <w:br/>
        <w:t xml:space="preserve">Case Summary 10 October 2011  </w:t>
        <w:br/>
        <w:t xml:space="preserve">Coordination of tenders for sales packaging waste collection services by compliance schemes  </w:t>
        <w:br/>
        <w:t xml:space="preserve">Sector: Collection and recovery of household packaging waste, compliance schemes  </w:t>
        <w:br/>
        <w:t xml:space="preserve">Ref: B 4 – 152/07  </w:t>
        <w:br/>
        <w:t>Period: November 2007 - March 2011</w:t>
      </w:r>
    </w:p>
    <w:p>
      <w:r>
        <w:t xml:space="preserve">Summary  </w:t>
        <w:br/>
        <w:t>The Bundeskartellamt welcomes the introduction of a coordination of tenders for the collection of sales packaging waste in so-called 'yellow bins' and glass containers. The new system constitutes a fundamental change in the organisation of collection services by compliance schemes. This will lead to a further improvement of competitive conditions in the sector. So far, the role of competitors of 'Duales System Deutschland' (DSD) was limited to sharing the costs of collection on a pro rata basis. In future, regional infrastructure for collection services will no longer be exclusively organised by DSD, but district by district by other compliance schemes as well. The compliance schemes have accepted a mutual obligation to put these waste collection services out to tender. The fact that the compliance scheme responsible for a certain district will bear the majority of the costs of waste collection in that district will lead to a more efficient organisation of collection services. The new system will remedy possible cost disadvantages for DSD's competitors that may have so far resulted from DSD's exclusive organisation of the collection infrastructure.</w:t>
      </w:r>
    </w:p>
    <w:p>
      <w:r>
        <w:t xml:space="preserve">1. System of shared use practiced so far  </w:t>
        <w:br/>
        <w:t>Under the German Packaging Ordinance (VerpackV) manufacturers and distributors of household packaging have to participate in one or more compliance schemes for sales packaging waste (so-called 'dual systems', § 6 VerpackV). The participation of a manufacturer or distributor in a compliance scheme is usually defined in a so-called 'Participation Contract'. Under such a contract the compliance scheme guarantees to</w:t>
      </w:r>
    </w:p>
    <w:p>
      <w:r>
        <w:t xml:space="preserve">2  </w:t>
        <w:br/>
        <w:t>take back and recycle household packaging waste quantities as defined in the contract. This service is provided for a certain fee and in accordance with the German Packaging Ordinance. Compliance schemes themselves also need to fulfil various requirements under the Packaging Ordinance. In particular, they have to meet certain recycling quotas and ensure a comprehensive regular collection of household packaging waste from private end consumers at or near their homes.</w:t>
      </w:r>
    </w:p>
    <w:p>
      <w:r>
        <w:t>A company wishing to operate a compliance scheme needs recognition by the competent authority in a federal state (Bundesland) that it has established a collection system covering the full area of the respective state. Initially, DSD (Der Grüne Punkt - Duales System Deutschland GmbH) was the only compliance scheme in Germany after the Packaging Ordinance came into force in 1991. In 2006, following various proceedings by the European Commission and the Bundeskartellamt, the first competitors of DSD gained such recognition for all 16 federal states in Germany. Today nine companies are recognised as nationwide compliance schemes. During DSD's monopoly, the total fees paid by manufacturers and distributors in the whole of Germany amounted to about 2 billion Euros per year. Under competitive conditions the fees have dropped to about half that amount.</w:t>
      </w:r>
    </w:p>
    <w:p>
      <w:r>
        <w:t>Operating a compliance scheme requires coordinating various waste management services. First, household packaging waste is collected at or near consumers' homes. Waste collection systems differ regionally and are agreed upon with the local public waste management authority (öffentlich-rechtlicher Entsorgungsträger, örE). Currently, there are approx. 447 collection districts in Germany which are largely identical with the areas for which the respective public waste management authorities are responsible. The most common collection system uses three different types of containers to collect household packaging: Glass is collected in glass containers (bring system), paper, paperboard and cardboard packaging (German abbreviation: PPK) in a 'blue bin', and light weight packaging (German abbreviation: LVP) in a 'yellow bin' or 'yellow bags'. Waste glass (cullet) is recycled in special facilities and subsequently used in the glass (receptacle) production. PPK is also processed in sorting facilities and then used in paper production. The recovery process for LVP is more complex. LVP is first sorted in sorting facilities according to the material used for the packaging: Plastics (where necessary further sorted according to types of plastic), metals (aluminium, tin plate), drinks cartons, PPK and sorting residue. The sorted material is recovered (where necessary after further treatment). In order to meet their waste recovery obligations, the nationwide compliance schemes have concluded a total of several thousand service</w:t>
      </w:r>
    </w:p>
    <w:p>
      <w:r>
        <w:t xml:space="preserve">3  </w:t>
        <w:br/>
        <w:t>contracts with waste management operators. Five of the nine compliance schemes are vertically integrated. They are owned by 'operationally active' waste management companies which conduct parts of the sorting and recovery services in-house.</w:t>
      </w:r>
    </w:p>
    <w:p>
      <w:r>
        <w:t>As the first step in the recycling process, the collection of used sales packing is a bottle-neck factor, not least due to the requirement of 'full area coverage' demanded by the competent state authorities. In order to be recognised as a compliance scheme, a company so far had to provide the competent authority with proof of collection service contracts for all collection districts in the respective federal state. In its decision of 17 September 2001 (2001/837/EC) the European Commission stated that DSD must not bind the collectors working for it by an exclusivity clause which would prevent the collector from accepting further assignments from other compliance schemes (so-called 'shared use'). The Commission also stated that the term of service contracts should not exceed three years; since 2004, DSD has tendered collection services in three-year contracts. Since the first of DSD's competitors entered the market, the compliance schemes have shared the collection infrastructure organized by DSD. This is done in such a way that DSD's competitors also commission the collectors chosen by DSD on a pro rata basis. As a consequence of this parallel assignment, ownership of the collected packaging waste has to be apportioned to the individual compliance schemes and their share of collection assignments defined for the individual districts. For this purpose, the compliance schemes have concluded a 'Quantity Calculation Agreement' among themselves and corresponding contracts with the collectors. Under these collection service contracts, the shares calculated according to the Quantity Calculation Agreement determine the share of collection assignments of a compliance scheme and the share of collected packaging waste the collector has to hand over to the respective compliance scheme. The shares calculated according to the agreement therefore also affect the subsequent sorting and recycling activities. Where nationwide compliance schemes are concerned, the Quantity Calculation Agreement apportions uniform collection shares throughout Germany. The agreement stipulates a quarterly report on expected quantities of sales packaging by the compliance schemes (based on their ‘participation contracts’ with customers). An additional 'Clearing Agreement' regulates the distribution of 'supplementary fees' (pro rata contribution to costs incurred by the public waste management authorities for the provision of waste advice and waste collection containers).</w:t>
      </w:r>
    </w:p>
    <w:p>
      <w:r>
        <w:t>The market entry of DSD's competitors became possible in the first place due to this system of shared use. In addition, conditions of competition improved in 2004 when</w:t>
      </w:r>
    </w:p>
    <w:p>
      <w:r>
        <w:rPr>
          <w:b/>
        </w:rPr>
        <w:t>[Pages 4–6]</w:t>
      </w:r>
    </w:p>
    <w:p>
      <w:r>
        <w:t xml:space="preserve">4  </w:t>
        <w:br/>
        <w:t xml:space="preserve">DSD began to put waste collection services out to tender. The result was a cost reduction of approx. 30 percent compared to the years before when the service contracts were awarded without competitive tenders. Since 2004, each compliance scheme has organized the sorting and recycling of packaging waste individually. As regards collection, however, the system of shared use leads to limited competition between the various compliance schemes. As a result of the Quantity Calculation Agreement allocating uniform collection quantities (and a corresponding share of collection assignments) throughout Germany, collection costs are pooled. As a consequence, there is little incentive to economize the collection of packaging waste, since all compliance schemes equally bear unnecessarily high collection costs. This restraint to competition is significantly, but not entirely, compensated for by the tender system. The nationwide uniform allocation of collection quantities also leads to a structural competitive disadvantage for compliance schemes with a small market share, as their logistical expenses for the subsequent sorting and recycling of the packaging waste are relatively higher than those of competitors with large market shares. In addition, the system of shared use leads to an exclusive relationship between co-user and collector, which is potentially conflictive. Finally, DSD's competitors have claimed that as a co-user they are suffering a significant competition disadvantage on account of the fact that collectors often demand higher collection fees from them than from DSD.  </w:t>
        <w:br/>
        <w:t xml:space="preserve">2. Requirements placed on a coordination of tenders for sales packaging waste collection services  </w:t>
        <w:br/>
        <w:t xml:space="preserve">a) Requirements under the Packaging Ordinance  </w:t>
        <w:br/>
        <w:t xml:space="preserve">In the context of the 5th Amendment to the German Packaging Ordinance, the Bundeskartellamt had called for the replacement of DSD's exclusive competence for tendering for collection services with a system of alternating tender organisers. In this system the other compliance schemes would also assume the role of tender organiser in some collection districts. The number of districts in which a specific compliance scheme is responsible for the tender process is determined on the basis of its quantities as calculated in the Quantity Calculation Agreement. The legislator has complied with the Bundeskartellamt's demand by obliging the compliance schemes under the Packaging Ordinance (§ 6 (7)) to coordinate tenders via a newly established Joint Body. The tender coordination has to comply with competition law standards. According to the legislative intent, the legislator assumed that the compliance schemes would agree on a coordination of tenders that was compliant with competition law and called for the assistance of the competition authorities in this matter. The Joint Body was set up as a platform under private law. According to a Partnership Agreement between the compliance schemes, the Joint Body may only commence the coordination of tenders if all nine compliance schemes agree to it doing so. This can lead to a situation where the Joint Body is unable to initiate tender coordination if individual compliance schemes refuse to give their consent.  </w:t>
        <w:br/>
        <w:t xml:space="preserve">With the amendment to the Packaging Ordinance, the previous obligation laid down in the former Appendix to the Packaging Ordinance for compliance schemes to award all waste management services (i.e. collection, sorting and recycling) in competitive procedures was abolished. At the same time, the amendment obliged the compliance schemes to coordinate tenders via the Joint Body. Consequently, an obligation to tender for services under the Packaging Ordinance is now limited to collection services only. The Packaging Ordinance does not make any further stipulations with regard to tender coordination. In particular, the legislator did not take up the Bundeskartellamt's demand to change the system of shared use to a system of 'additive area coverage' in the amended Packaging Ordinance. Under such a system only one compliance scheme per collection district would be the responsible entity to commission collection services in the respective district. As a consequence, the numerous concerns with regard to practicability and lacking competition raised by the system of shared use could be avoided.  </w:t>
        <w:br/>
        <w:t xml:space="preserve">b) Requirements under competition law  </w:t>
        <w:br/>
        <w:t xml:space="preserve">The Bundeskartellamt accepts that a cooperation between the compliance schemes within the framework of the Packaging Ordinance is necessary. However, this cooperation has to be in line with the provisions of Articles 101, 102 TFEU and §§ 1, 2, 19-21 GWB (Gesetz gegen Wettbewerbsbeschränkungen - Act against Restraints of Competition).  </w:t>
        <w:br/>
        <w:t xml:space="preserve">The award of contracts for waste management services in principle only requires cooperation at the collection level (in order to avoid parallel collection infrastructures). A cooperation in the subsequent sorting and recycling activities is not necessary. Collection services must therefore be awarded separately from other waste management services.  </w:t>
        <w:br/>
        <w:t xml:space="preserve">The compliance schemes intend to maintain a single, shared collection infrastructure. Although this constitutes an appreciable restriction of competition within the meaning of Art. 101 (1) TFEU and § 1 GWB, it is exempted from the ban on cartels provided the joint collection is designed in such a way that the exemption requirements of Art. 101 (3) TFEU and § 2 GWB are fulfilled. As long as a nationwide collection of packaging waste is to be achieved via a system of shared use, it is a necessary element of collection cooperation between the compliance schemes to put out collection services to tender. If the collection contracts were awarded without competitive tenders, this would lead to significant efficiency losses when compared to tender proceedings. Customers of the compliance schemes and, ultimately, consumers would face higher costs. As a consequence, the aforementioned exemption requirements are not fulfilled if collection contracts are awarded without competitive tenders. In order to create sufficient incentives for economization, it is also necessary to have the compliance scheme organising the tender assume responsibility for at least the majority of the collected waste quantities (or, respectively, shares of the collection assignments) in 'its' collection district, so that the organisational responsibility also includes a responsibility for cost-effectiveness. Even an allocation of up to the complete collection quantity (or collection assignment) in a collection district to the compliance scheme conducting the tender is absolutely in line with the Packaging Ordinance. The inefficiencies resulting from the pooling of costs can thus be avoided. In addition to these principles, details of the tender coordination also need to be examined with regard to whether they fulfil the exemption requirements and do not discriminate against or hinder any party or third party.  </w:t>
        <w:br/>
        <w:t xml:space="preserve">The compliance schemes have presented several tender coordination models to the Bundeskartellamt and asked it to assess them under competition law. The Bundeskartellamt has commented on these models.  </w:t>
        <w:br/>
        <w:t>In November 2007, four of the nine dual systems submitted a draft tendering agreement. The draft agreement stipulated that the collection districts be allocated by lot according to the market shares as calculated in the Quantity Calculation Agreement, and that there was an obligation to tender. With this, it fulfilled two of the three crucial points. However, the draft agreement failed to include an allocation of at least the bulk share of the collected waste (or, respectively, the collection assignments) to the respective tender organiser. As a consequence, it was doubtful whether the price level would work as a selection criterion in those tenders where a compliance scheme with a small market share was organising the tender. When in December 2007 the Bundesrat</w:t>
      </w:r>
    </w:p>
    <w:p>
      <w:r>
        <w:rPr>
          <w:b/>
        </w:rPr>
        <w:t>[Pages 7–9]</w:t>
      </w:r>
    </w:p>
    <w:p>
      <w:r>
        <w:t xml:space="preserve">7  </w:t>
        <w:br/>
        <w:t xml:space="preserve">(upper house of the German parliament) abolished the extended obligation to tender as previously laid down in the Appendix to the Packaging Ordinance, several of the vertically integrated compliance schemes were no longer willing to contractually agree to a mutual obligation to tender at all. The draft agreement was subsequently abandoned. In October 2009, the compliance schemes presented another model (so-called 'black box model'). It envisaged that the tender districts be allocated in two steps. In a first step, negotiators should be selected by lot to agree upon the collection system with the public waste management authorities. These negotiators would only be responsible for the phase up to the drafting of the tender documents. In a second step, bidders should submit bids via an electronic platform. After expiry of the submission deadline, a different compliance scheme acting as the awarding entity should also be selected by lot. The bids would only be valid for the collection service contract with the compliance scheme awarding the contract. Since this model would have abandoned the overall responsibility of the tender organiser for the conceptual design of the collection system, the organisation of the tender proceedings and the (majority of) the costs, it would also have failed to set incentives to economise the collection systems. In August 2010, all nine compliance schemes presented a model (the so-called '50%+X model') which was the first to meet the key requirements under competition law. In October 2010, the Eko-Punkt GmbH (which belongs to the Remondis group) withdrew its approval of the model. In November 2010, three of the nine compliance schemes signed an agreement on the tendering of packaging waste collection services (“Tendering Agreement”). By February 2011, five further compliance schemes had entered into the agreement. The eight compliance schemes that have signed the agreement handle approx. 99% of the packaging quantities of all nine compliance schemes (calculated on the basis of the figures announced in the report on expected quantities in the second quarter of 2011).  </w:t>
        <w:br/>
        <w:t xml:space="preserve">3. Tendering Agreement of 30 November 2010  </w:t>
        <w:br/>
        <w:t>In the Tendering Agreement the compliance schemes mutually commit themselves to assume full responsibility (allocated by lot) for the organisation of tender proceedings for collection services in the German collection districts. Such responsibility includes coordinating the design of the collection system with the public waste management authority, drafting the tender documents, obtaining bids via a joint tender platform, awarding the contract, monitoring the implementation of the collection contract by the commissioned collection service provider and solving problems that may arise in the course of the three-year contract period. The tender organiser awards the contract to the best bidder. Subsequent price negotiations are not allowed. The best bidder can only be excluded from the award on the basis of exhaustively listed grounds. If he is excluded, the best bidder may request a review of the exclusion decision by way of arbitration proceedings. Under the Tendering Agreement, the joint tender platform will be operated by a neutral service provider and monitored by an independent third party. In particular, it must be ensured that the compliance schemes are not allowed to inspect submitted bids. The compliance schemes do not receive any information on the tenders organized by the other compliance schemes. The compliance scheme organising the tender only receives the following information: Name of the best bidder, number of bids submitted, price difference to the second-best bidder (by an anonymous indication of margins, e.g. 0-5%, 5-10%, ...). The best bidder is informed at the same time as the tender organiser that he has submitted the lowest bid. The collection districts for which a compliance scheme is to assume responsibility for tender management are allocated by lot. The number of collection districts for which a compliance scheme is responsible is determined according to the scheme's packaging waste shares as calculated in the Quantity Calculation Agreement. As these shares differ for glass and LVP, separate allocation procedures are conducted for both types of material. In the draw, the collection prices achieved in the last tender procedure are taken into account so that lot advantages and disadvantages are avoided. To prevent compliance schemes from learning about previous collection prices of other tender organisers, the draw is conducted by a third party, which is bound by a confidentiality obligation, and in the presence of a notary. The first draw was conducted on 30 November 2010 between the first three compliance schemes to sign the Tendering Agreement (the five other schemes had not yet entered into the agreement by that date, see above). In the first year, only these three compliance schemes will act as tender organisers. The tender procedure is modelled on the previous tender procedures conducted by DSD. The first tenders were initiated at the end of April 2011. Beside its organisational responsibilities, the tender organiser also bears the major share of the costs. Although the Tendering Agreement maintains the nationwide uniform allocation of collection quantity shares, deviating billing shares in the future will be considered in the remuneration of collection services. The tender organiser bears at least 50% of the collection costs (thus: '50%+X' model). At the same time, it is ensured that, as hitherto, the collection service billing shares amount to 100% in total. In future, collection service providers will have to use two clearing codes: As before, the collection quantity shares calculated according to the Quantity Calculation Agreement will determine the share of collected packaging waste to be handed over to a collection scheme. However, when billing its collection services, the service provider will use the billing shares as determined by the Tendering Agreement. For collection schemes that have not entered into the Tendering Agreement, these two figures are identical, which means the Tendering Agreement does not have any effect on them. The Tendering Agreement contains a contractual obligation for the collection service provider to offer the other compliance schemes a shared use agreement. The Tendering Agreement provides for three mechanisms that make an adjustment to the actual market shares of the compliance schemes possible. First, the annual allocation by lot of tender management responsibility for one third of the collection districts allows for an adjustment. However, as the draw is conducted more than 12 months before the actual services are provided, this adjustment mechanism has only medium-term effects. For a short-term adjustment, billing shares are calculated as hitherto four times a year on the basis of quarterly reports on expected quantities. Finally, the 50%+X-billing mode can be disapplied for individual collection districts if the market share of the respective tender organiser has sharply dropped. In these districts, the billing shares will correspond to the (previously used) quantity shares. The coordination of tenders significantly improves the conditions of competition between the compliance schemes. The Tendering Agreement has to be regularly reviewed on the basis of experience gained in its application and, where applicable, with regard to competition law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