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https://www.bundeskartellamt.de/SharedDocs/Entscheidung/DE/Entscheidungen/Fusionskontrolle/2013/B4-18-13.pdf?__blob=publicationFile&amp;amp;v=5</w:t>
      </w:r>
    </w:p>
    <w:p>
      <w:r>
        <w:t>Pages translated : 126</w:t>
      </w:r>
    </w:p>
    <w:p/>
    <w:p>
      <w:r>
        <w:rPr>
          <w:b/>
        </w:rPr>
        <w:t>[Pages 1–3]</w:t>
      </w:r>
    </w:p>
    <w:p>
      <w:r>
        <w:t xml:space="preserve">4. Decision Division  </w:t>
        <w:br/>
        <w:t xml:space="preserve">B 4 – 82000 – Fa –18/13  </w:t>
        <w:br/>
        <w:t xml:space="preserve">MERGER CONTROL PROCEDURE  </w:t>
        <w:br/>
        <w:t xml:space="preserve">ORDER PURSUANT TO § 40 ABS. 2 GWB  </w:t>
        <w:br/>
        <w:t xml:space="preserve">- Public Version -  </w:t>
        <w:br/>
        <w:t xml:space="preserve">Decision  </w:t>
        <w:br/>
        <w:t xml:space="preserve">In the administrative proceedings  </w:t>
        <w:br/>
        <w:t xml:space="preserve">1. Prosegur Compania de Seguridad SA,  </w:t>
        <w:br/>
        <w:t xml:space="preserve">Calle Pajaritos 24, 28007 Madrid, Spain;  </w:t>
        <w:br/>
        <w:t xml:space="preserve">- Participant 1 -  </w:t>
        <w:br/>
        <w:t xml:space="preserve">Authorized representative 1:  </w:t>
        <w:br/>
        <w:t xml:space="preserve">Attorneys  </w:t>
        <w:br/>
        <w:t xml:space="preserve">Clifford Chance  </w:t>
        <w:br/>
        <w:t xml:space="preserve">Attorney Marc Besen  </w:t>
        <w:br/>
        <w:t xml:space="preserve">Königsallee 59  </w:t>
        <w:br/>
        <w:t xml:space="preserve">40215 Düsseldorf  </w:t>
        <w:br/>
        <w:t xml:space="preserve">(+)49-(0)211-43 55-5600  </w:t>
        <w:br/>
        <w:t xml:space="preserve">2. Brink’s Deutschland GmbH,  </w:t>
        <w:br/>
        <w:t xml:space="preserve">Insterburger Straße 7a, 60487 Frankfurt am Main;  </w:t>
        <w:br/>
        <w:t xml:space="preserve">- Participant 2 -  </w:t>
        <w:br/>
        <w:t xml:space="preserve">3. Brink’s Transport &amp; Service GmbH,  </w:t>
        <w:br/>
        <w:t xml:space="preserve">Insterburger Straße 7a, 60487 Frankfurt am Main;  </w:t>
        <w:br/>
        <w:t>- Participant 3 -</w:t>
      </w:r>
    </w:p>
    <w:p>
      <w:r>
        <w:t xml:space="preserve">2  </w:t>
        <w:br/>
        <w:t xml:space="preserve">- Authorized representatives 2 and 3:  </w:t>
        <w:br/>
        <w:t xml:space="preserve">Attorneys  </w:t>
        <w:br/>
        <w:t xml:space="preserve">Salans FMC SNR Denton Europe LLP  </w:t>
        <w:br/>
        <w:t xml:space="preserve">Attorney Dr. Jörg Karenfort  </w:t>
        <w:br/>
        <w:t xml:space="preserve">Markgrafenstraße 33  </w:t>
        <w:br/>
        <w:t xml:space="preserve">10117 Berlin  </w:t>
        <w:br/>
        <w:t xml:space="preserve">(+)49-(0)30-264-73 133  </w:t>
        <w:br/>
        <w:t xml:space="preserve">4. Unicorn Geld- und Wertdienstleistungen GmbH,  </w:t>
        <w:br/>
        <w:t xml:space="preserve">- Lange Laube 7, 30159 Hannover;  </w:t>
        <w:br/>
        <w:t xml:space="preserve">- Joined party 4 -  </w:t>
        <w:br/>
        <w:t xml:space="preserve">Authorized representative 4:  </w:t>
        <w:br/>
        <w:t xml:space="preserve">Attorneys  </w:t>
        <w:br/>
        <w:t xml:space="preserve">Norton Rose  </w:t>
        <w:br/>
        <w:t xml:space="preserve">Attorney Dr. Michael Jürgen Werner  </w:t>
        <w:br/>
        <w:t xml:space="preserve">Stephanstraße 15  </w:t>
        <w:br/>
        <w:t xml:space="preserve">60313 Frankfurt am Main  </w:t>
        <w:br/>
        <w:t xml:space="preserve">Fax No.: (+)49-(0)69-50 50 96-10  </w:t>
        <w:br/>
        <w:t xml:space="preserve">5. Ziemann Sicherheit GmbH,  </w:t>
        <w:br/>
        <w:t xml:space="preserve">Gewerbestraße 19 – 23, 79227 Schallstadt;  </w:t>
        <w:br/>
        <w:t xml:space="preserve">- Joined party 5 -  </w:t>
        <w:br/>
        <w:t xml:space="preserve">Authorized representative 5:  </w:t>
        <w:br/>
        <w:t xml:space="preserve">Attorneys  </w:t>
        <w:br/>
        <w:t xml:space="preserve">Milbank, Tweed; Hadley &amp; McCloy LLP  </w:t>
        <w:br/>
        <w:t xml:space="preserve">Attorney Dr. Alexander Rinne  </w:t>
        <w:br/>
        <w:t xml:space="preserve">Maximilianstraße 15  </w:t>
        <w:br/>
        <w:t xml:space="preserve">80539 München  </w:t>
        <w:br/>
        <w:t xml:space="preserve">Fax No.: (+)49-(0)89-25559-3700  </w:t>
        <w:br/>
        <w:t xml:space="preserve">for the examination of a merger project pursuant to § 36 paragraph 1 of the Act against Restraints of Competition (GWB)1, the  </w:t>
        <w:br/>
        <w:t xml:space="preserve">4. Decision Division of the Federal Cartel Office decided on July 18, 2013:  </w:t>
        <w:br/>
        <w:t>1 Act against Restraints of Competition in the version published on June 26, 2013 (BGBl. I page 1750).</w:t>
      </w:r>
    </w:p>
    <w:p>
      <w:r>
        <w:t xml:space="preserve">3  </w:t>
        <w:br/>
        <w:t xml:space="preserve">I. The merger project notified by letter dated February 1, 2013 is approved. The approval is granted with the following conditions:  </w:t>
        <w:br/>
        <w:t xml:space="preserve">1. Obligation to divest  </w:t>
        <w:br/>
        <w:t xml:space="preserve">a) Suspensive conditions  </w:t>
        <w:br/>
        <w:t xml:space="preserve">aa) The approval is granted under the suspensive condition that Participants 1, 2, and 3, including all companies affiliated with them in accordance with § 36 paragraph 2 GWB (hereinafter collectively referred to as "the Participants"), divest contractual relationships in the area of cash services in Berlin before the execution of the merger project within the period specified under item I.4.a) in accordance with the following provisions. The contractual relationships are to be sold to one or at most two independent purchasers (hereinafter: "the Purchaser") and must have a total annual revenue volume (based on the year 2012) of at least […] million euros ([…] euros). 95% of the customer locations from the contractual relationships to be divested must be located within a radius of […] km around the cash center of Participant 3 in Berlin (hereinafter "Market Area Berlin").  </w:t>
        <w:br/>
        <w:t>bb) The approval is granted under the suspensive condition that the Participants further divest within the period specified under item I.4.a) and in accordance with the following provisions in the area of Berlin […] cash centers, […] armored vehicles, […] unarmored vehicles, and […] employee contracts from the area of cash services to the Purchaser. The assets to be divested and the employment relationships to be transferred must be suitable to enable the Purchaser to provide services without further ado. The divestiture of the cash centers, the armored and unarmored vehicles, as well as the transfer of the employee contracts may only be omitted in whole or in part if the Purchaser waives the acquisition in whole or in part vis-à-vis the trustee (as described in item I.1a) ee) in conjunction with I.5.g)).</w:t>
      </w:r>
    </w:p>
    <w:p>
      <w:r>
        <w:rPr>
          <w:b/>
        </w:rPr>
        <w:t>[Pages 4–6]</w:t>
      </w:r>
    </w:p>
    <w:p>
      <w:r>
        <w:t xml:space="preserve">4  </w:t>
        <w:br/>
        <w:t xml:space="preserve">cc) The package of contractual relationships to be transferred to the acquirer in the sense of Section I.1.a) must be structured in such a way that it represents a strategically meaningful package from a market perspective. Customer contracts must be transferred in full and undivided. The package as a whole must form a coherent network of customer access points (stops) in the Berlin market area. The contractual relationships in the sense of Section I.1.a) aa) must also involve at least two contracts that together create a homogeneous branch or ATM network in the sense of so-called carrier logistics through the total number of their stop addresses.  </w:t>
        <w:br/>
        <w:t xml:space="preserve">dd) The obligation to transfer in Section I.1.a) aa) (suspensive conditions) is considered fulfilled when the parties demonstrate the conclusion of binding contracts between the respective customer and the acquirer, thereby fully and legally transferring all contractual relationships named in Section I.1.a) aa). The prior conduct of any necessary merger control procedures remains unaffected (for the necessary prior submission of contracts, see Section I.5.f)).  </w:t>
        <w:br/>
        <w:t xml:space="preserve">ee) The obligation to transfer in Section I.1.a) bb) (suspensive conditions) is considered fulfilled when the parties either demonstrate that they have fully transferred or effectively conveyed the assets and employment relationships mentioned in Section I.1.a) bb) to an acquirer (conclusion of transfer or conveyance contracts) or demonstrate that the acquirer does not wish to acquire these assets in connection with the contractual relationships to be transferred, and there are understandable reasons for this. In the latter alternative, proof is considered provided when the acquirer has declared in writing to the trustee that they waive the offer in whole or in part. This also applies with regard to the temporal transition of the employment relationships. This declaration by the acquirer to the trustee must also include the reasons for the intended waiver. The (partial) waiver declaration of the acquirer must be submitted no later than the expiration of the deadline specified in Section I.5.g). The declaration of the acquirer is deemed to have been made if it is not submitted within this period. This fiction does not apply if the declaration is omitted because the parties and the acquirer do not agree on the terms of the transfer.  </w:t>
        <w:br/>
        <w:t xml:space="preserve">ff) If a transfer of the contracts mentioned in Section I.1.a) aa) or the assets mentioned in Section I.1.a) bb) or the transfer of the employee contracts mentioned in Section I.1.a) bb) or the waiver declaration of the acquirer regarding the assets and/or employee contracts mentioned in Section I.1.a) bb) does not occur by the expiration of the deadline specified in Section I.4.a), the release effect of the decision does not take effect.  </w:t>
        <w:br/>
        <w:t xml:space="preserve">b) Resolving Conditions  </w:t>
        <w:br/>
        <w:t xml:space="preserve">aa) The release occurs under the resolving condition that the transfer of the contracts mentioned in Section I.1.a) aa) or I.1.a) bb) does not occur permanently. If the effectiveness of the transfer of the contracts mentioned in Section I.1.a) aa) or I.1.a) bb) ceases retroactively within a period of […] after complete performance by the acquirer, the release effect of the decision ceases. The merger is then deemed prohibited.  </w:t>
        <w:br/>
        <w:t xml:space="preserve">bb) The release occurs under the resolving condition that the complete performance by the acquirer is not commenced in a timely manner. The release effect of the decision of the Bundeskartellamt ceases if the complete performance regarding the contracts to be transferred (Section I.1.a) aa)) is not commenced in a timely manner by the acquirer, i.e., within the period specified under I.4.b). In this case, the merger is also deemed prohibited. The time of the commencement of complete performance by the acquirer will be determined based on a report from the trustee with the consent of the Bundeskartellamt.  </w:t>
        <w:br/>
        <w:t xml:space="preserve">cc) The Bundeskartellamt may, deviating from this regulation, determine that the release effect of the decision does not cease, even if the acquirer has not fully commenced performance after the period specified in Section I.4.b). This is particularly the case if the trustee submits a report indicating that the complete performance by the acquirer is being unduly delayed.  </w:t>
        <w:br/>
        <w:t xml:space="preserve">2. Obligations after the occurrence of conditions to maintain the structural effects of the transfer (resolving condition)  </w:t>
        <w:br/>
        <w:t xml:space="preserve">a) In order to maintain the structural effects of the obligations mentioned in Section I.1 even after the occurrence of conditions, the release is subject to the following resolving condition: The parties are prohibited from providing cash services for customers in the Berlin market area whose contracts have been transferred to the acquirer within a period of two years from the complete performance by the acquirer and from making an offer to these customers for the provision of cash services in the Berlin market area during this period (non-compete obligation). In the event of a violation of the non-compete obligation, the release effect of the decision ceases. The merger is then deemed prohibited.  </w:t>
        <w:br/>
        <w:t xml:space="preserve">b) The Bundeskartellamt may, deviating from this regulation, determine that the period for the non-compete obligation begins even before the commencement of complete performance by the acquirer. This is particularly the case if the trustee submits a report indicating that the complete performance by the acquirer is being unduly delayed.  </w:t>
        <w:br/>
        <w:t xml:space="preserve">3. Subject of Transfer  </w:t>
        <w:br/>
        <w:t xml:space="preserve">The transfer of a cash center mentioned in Section I.1.a) bb) means that the business operation is fully transferred to the acquirer. This particularly means:  </w:t>
        <w:br/>
        <w:t>a) The parties must transfer the usage rights to the cash center, including all associated rooms and areas (properties, storage areas, office spaces, parking lots, etc.) to the acquirer. To the extent that the parties are owners of these rooms or areas, they must transfer ownership to the acquirer and all real rights and</w:t>
      </w:r>
    </w:p>
    <w:p>
      <w:r>
        <w:rPr>
          <w:b/>
        </w:rPr>
        <w:t>[Pages 7–9]</w:t>
      </w:r>
    </w:p>
    <w:p>
      <w:r>
        <w:t xml:space="preserve">7  </w:t>
        <w:br/>
        <w:t xml:space="preserve">and relinquish all property and contractual rights to these rooms and areas. The conclusion of a notarized purchase and transfer agreement is sufficient in this regard. If the parties are tenants of the rooms and areas in which the Cash Center operates, it is necessary for the fulfillment of the condition that the acquirer enters into the lease relationship in place of the parties or concludes a separate lease agreement, while the parties relinquish all property and contractual rights to these rooms and areas. Should it be proven in justified cases that a lease relationship between the acquirer and the respective landlord cannot be established, the parties must provide the acquirer with the legal opportunity for use. The parties will also endeavor to relinquish their existing rights to the leased property as early as possible. Ownership of the inventory (interior furnishings, note counting machines, high-performance sorters, rollers, safe systems, security technology, etc.) of the respective location is to be transferred to the acquirer who acquires this location, unless the acquirer waives this entirely or partially. To the extent that the assets are leased, the leasing contracts are to be transferred.  </w:t>
        <w:br/>
        <w:t xml:space="preserve">b) The sale of the armored and unarmored vehicles must be carried out accordingly.  </w:t>
        <w:br/>
        <w:t xml:space="preserve">c) Should the conditions of § 613a of the German Civil Code (BGB) be met, the acquirer shall, upon taking over the employment relationships of employees from the cash services sector in Berlin, enter into the respective rights and obligations that exist between the parties and the affected employees at the time of the transfer in accordance with this provision.  </w:t>
        <w:br/>
        <w:t>d) Furthermore, the parties must ensure the transfer of all official permits for the operation of the Cash Center to be transferred, to the extent that these can be transferred by the parties to third parties.</w:t>
      </w:r>
    </w:p>
    <w:p>
      <w:r>
        <w:t xml:space="preserve">8  </w:t>
        <w:br/>
        <w:t xml:space="preserve">4. Sale Deadlines  </w:t>
        <w:br/>
        <w:t xml:space="preserve">a) The sale obligations under I.1.a) aa) and bb) must be fulfilled by the parties within […] after the delivery of this decision. If the parties fail to comply with these sale obligations within […] , the Federal Cartel Office may, upon a duly justified application, extend the sale deadline to a total of […] after the delivery of the decision.  </w:t>
        <w:br/>
        <w:t xml:space="preserve">b) The acquirer of the contractual relationships must fully commence its activities no later than […] after the conclusion of the contract. If the acquirer fails to comply with this obligation within […] , the Federal Cartel Office may, upon a duly justified application, extend the deadline for the full commencement of activities to a total of […] after the conclusion of the contract.  </w:t>
        <w:br/>
        <w:t xml:space="preserve">c) The Federal Cartel Office may extend the deadlines under I.4.a) and b) in justified exceptional cases upon application after submission of a report by the trustee.  </w:t>
        <w:br/>
        <w:t xml:space="preserve">5. Requirements for the Acquirer  </w:t>
        <w:br/>
        <w:t xml:space="preserve">The acquirer of the contractual relationships to be sold (Section I.1.a) aa)) and the assets mentioned in Section I.1.a) bb) must meet the following requirements:  </w:t>
        <w:br/>
        <w:t xml:space="preserve">a) The acquirer must be a company in which the parties have no personnel or capital interests (regardless of the amount) and over which the parties cannot exert any competitively significant influence within the meaning of § 37 Abs. 1 Nr. 4 GWB. The acquirer must also not be intertwined with the parties in any other way, for example through contractual agreements (distribution cooperations, etc.), joint ventures, or other cooperations. To the extent that a potential acquirer has contractual agreements with the parties, it must be demonstrated that the subject matter of the contract is of only minor importance for the business activities of the respective contracting parties.  </w:t>
        <w:br/>
        <w:t xml:space="preserve">b) After the full performance commencement as defined in Section I.4 b), the parties must not be involved in the provision of services for the acquired contractual relationships as defined in Section I.1.a) aa), in particular, the acquirer must not enter into subcontracting agreements with the parties for this service provision.  </w:t>
        <w:br/>
        <w:t xml:space="preserve">c) The acquirer must be a company that is already a provider of cash services in Germany, has achieved at least […]€ in external revenue in the cash services sector in Germany in the year 2012, has at least […] branches in the country, and can demonstrate an interest in continuing the acquired customer contracts. The parties may sell part of the contractual relationships to be sold under Section I.1.a) aa) to an acquirer who does not meet the requirements of Section I.5.c) sentence 1. The prerequisite for this is that this acquirer is already providing cash services for bank and commercial customers in the market area of Berlin to a significant extent. No more than a volume of […] € may be sold from the volume to be sold under Section I.1.a) aa). In any case, it must be a company that can be expected to maintain a lasting presence as a competitor in the cash services market in the market area of Berlin. In particular, the acquirer must guarantee that a "swap" of contractual relationships in the cash services sector in the rest of the federal territory against the acquisition of the contractual relationships to be sold by the parties in Berlin can be excluded with sufficient certainty.  </w:t>
        <w:br/>
        <w:t>d) If the acquirer is not already active in the cash services market in Germany to the extent described in Section I.5.c), it is still considered a suitable acquirer if it belongs to the leading competitors in cash services in the EU and intends to operate permanently in the market area of Berlin with cash services.</w:t>
      </w:r>
    </w:p>
    <w:p>
      <w:r>
        <w:rPr>
          <w:b/>
        </w:rPr>
        <w:t>[Pages 10–12]</w:t>
      </w:r>
    </w:p>
    <w:p>
      <w:r>
        <w:t xml:space="preserve">10  </w:t>
        <w:br/>
        <w:t xml:space="preserve">to be, as well as being objectively capable of doing so. This must be demonstrated to the Federal Cartel Office through appropriate strategic documents.  </w:t>
        <w:br/>
        <w:t xml:space="preserve">e) The acquisition of the contractual relationships to be transferred by the acquirer must not prima facie give rise to the expectation that effective competition will be significantly impeded: neither should the creation or strengthening of a dominant market position be expected, nor should the merger otherwise lead to unilateral effects that significantly impede competition in the relevant markets.  </w:t>
        <w:br/>
        <w:t xml:space="preserve">f) The parties shall inform the Federal Cartel Office of the acquirer they have selected. Within the divestiture periods mentioned in section I.4.a), the Federal Cartel Office shall be given at least 10 working days to declare its approval or to reject an acquirer. The deadline for the declaration of approval begins with the submission of all relevant documents by the acquirer or the trustee in accordance with section I.5.g). The deadline for the Federal Cartel Office's statement as well as the divestiture period of [...] may be extended by the duration of a merger control procedure required as a result of the acquisition process. If the Federal Cartel Office does not receive the necessary information about the acquirer within five working days of the request, the deadline for the Federal Cartel Office's statement shall be extended by the number of working days by which the information was received late. The divestiture period remains unchanged in this case. The granting of approval may only be refused for the reasons mentioned above in this section 5. Any obligation to notify the acquisition to the competent competition authority remains unaffected.  </w:t>
        <w:br/>
        <w:t>g) The acquirer shall promptly submit to the Federal Cartel Office, but no later than within 10 days of its designation by the parties or the trustee, all documents necessary for assessing the suitability of the acquirer. This includes, among other things, a detailed business plan for the acquisition of the contractual relationships and assets to be acquired in the sense of sections I.1.a) aa) and I.1.a) bb).</w:t>
      </w:r>
    </w:p>
    <w:p>
      <w:r>
        <w:t xml:space="preserve">11  </w:t>
        <w:br/>
        <w:t xml:space="preserve">6. Trustee  </w:t>
        <w:br/>
        <w:t xml:space="preserve">a) The parties are required to appoint an independent and knowledgeable trustee no later than two weeks after the service of this decision, whose task is to ensure compliance with the obligations listed in sections 1. – 6. The trustee must be independent of the parties and free from current and potential conflicts of interest and must possess the necessary qualifications for their task. The parties shall bear the costs of the trustee jointly and severally.  </w:t>
        <w:br/>
        <w:t xml:space="preserve">b) The appointment of the trustee and the trustee agreement require the prior approval of the Federal Cartel Office. The parties shall submit to the Federal Cartel Office a list of at least three proposals for the office of the trustee, along with the underlying trustee agreement, no later than one week after the service of this decision. Should the Federal Cartel Office reject the proposed candidates and/or the trustee agreement, the parties shall submit to the Federal Cartel Office at least two additional proposals and/or a revised version of the trustee agreement based on the suggestions of the Federal Cartel Office within one further week after receipt of the rejection decision. Should these proposals also not receive approval, the parties shall appoint a trustee designated by the Federal Cartel Office and/or use a trustee agreement prescribed by the Federal Cartel Office.  </w:t>
        <w:br/>
        <w:t xml:space="preserve">c) The trustee shall propose a detailed work and timeline in a first report to the Federal Cartel Office as a representative of the parties immediately after taking up their mandate, indicating the measures they intend to take to fulfill the tasks arising from the ancillary provisions for the parties. The trustee  </w:t>
        <w:br/>
        <w:t xml:space="preserve">- shall submit to the Federal Cartel Office a written report on the status of the implementation and compliance with the obligations mentioned in sections 1. – 6. every 4 weeks, initially by no later than July 24, 2013,  </w:t>
        <w:br/>
        <w:t xml:space="preserve">- shall support the progress of the divestiture process,  </w:t>
        <w:br/>
        <w:t xml:space="preserve">- shall inform about the contracts to be concluded in the course of the transfer of the contractual relationships and assets in the sense of section I.1.a),  </w:t>
        <w:br/>
        <w:t xml:space="preserve">- shall submit to the Federal Cartel Office a final report on compliance and implementation of the obligations arising from the ancillary provisions immediately after the expiration of their mandate or after the completion of the divestiture.  </w:t>
        <w:br/>
        <w:t xml:space="preserve">d) The parties shall provide the trustee with any useful cooperation, support, and information that they need to fulfill their tasks. The parties shall grant the trustee access to all books, records, documents, employees, facilities, and technical information regarding the contractual relationships to be transferred by the parties in I.1.a) aa), as well as, if applicable, the assets in the sense of section I.1.a) bb), that are necessary for the fulfillment of their mandate.  </w:t>
        <w:br/>
        <w:t xml:space="preserve">e) The Federal Cartel Office may issue instructions to the trustee as a representative of the parties to ensure compliance with the ancillary provisions. If the trustee fails to comply with these instructions or intentionally or grossly negligently violates the duties incumbent upon them as a representative of the parties, the Federal Cartel Office may instruct the parties to replace them with another trustee.  </w:t>
        <w:br/>
        <w:t>f) The Federal Cartel Office shall not be liable for any damages caused by the trustee or any of their employees.</w:t>
      </w:r>
    </w:p>
    <w:p>
      <w:r>
        <w:rPr>
          <w:b/>
        </w:rPr>
        <w:t>[Pages 13–15]</w:t>
      </w:r>
    </w:p>
    <w:p>
      <w:r>
        <w:t xml:space="preserve">13  </w:t>
        <w:br/>
        <w:t xml:space="preserve">II. The fee for this decision is set at  </w:t>
        <w:br/>
        <w:t xml:space="preserve">€-[…],-  </w:t>
        <w:br/>
        <w:t xml:space="preserve">(in words: […] euros)  </w:t>
        <w:br/>
        <w:t xml:space="preserve">and imposed on the parties 1 to 3 as joint debtors. The separately determined fee of € […],- for the notification of the merger project will be credited.  </w:t>
        <w:br/>
        <w:t xml:space="preserve">Reasons  </w:t>
        <w:br/>
        <w:t xml:space="preserve">I. The Project  </w:t>
        <w:br/>
        <w:t xml:space="preserve">(1) Prosegur Compania de Seguridad SA Madrid, Spain, (hereinafter: Prosegur SA) intends to acquire 100% of the shares in Brink's Deutschland GmbH, Frankfurt am Main, and Brink's Transport &amp; Service GmbH, Frankfurt am Main, (both together hereinafter referred to as Brink's).  </w:t>
        <w:br/>
        <w:t xml:space="preserve">II. The Involved Companies  </w:t>
        <w:br/>
        <w:t xml:space="preserve">A. The Merger Parties  </w:t>
        <w:br/>
        <w:t xml:space="preserve">1. Prosegur SA  </w:t>
        <w:br/>
        <w:t xml:space="preserve">a. Activity and Structure of the Company  </w:t>
        <w:br/>
        <w:t xml:space="preserve">(2) Prosegur SA is a publicly traded stock corporation based in Madrid, Spain. It is an internationally operating security service company that operates worldwide through various subsidiaries and claims to be the third-largest security company in the world.2 Besides Germany, Prosegur SA operates in Spain, France, Portugal, and Luxembourg in Europe. According to its own statements, Prosegur SA is a leading company in the entire field of security services in most countries where the group operates. The services offered by Prosegur SA include security (e.g., airport security, large events, geolocation and GPS tracking, goods transport protection, and the operation of mobile control centers), cash services, as well as planning, installation, and maintenance of integrated security and fire protection concepts.  </w:t>
        <w:br/>
        <w:t xml:space="preserve">(3) Prosegur SA, which had not been active in Germany until that time, acquired SecurLog GmbH at the end of 2011 and has since been operating in Germany with its wholly-owned subsidiary Prosegur GmbH, Düsseldorf (hereinafter: Prosegur). The services offered in Germany include cash and valuables transport, cash processing, ATM services (hereinafter also: self-service services), courier services, and security technology.3  </w:t>
        <w:br/>
        <w:t xml:space="preserve">(4) In the area of cash transport, the company offers customers from trade and banks the collection of cash (cash disposal) and the supply of cash (cash supply): On the one hand, coins and banknotes are transported for further processing (see below) and subsequent deposit at the Deutsche Bundesbank to be credited to an account at a credit institution. On the other hand, the required liquidity, e.g., in the form of cash reserves on-site, is provided.  </w:t>
        <w:br/>
        <w:t xml:space="preserve">(5) In the context of cash processing, the service includes the processing of banknotes and coins (counting, bundling, rolling) as well as authenticity verification and deposit into a customer account by depositing at the Deutsche Bundesbank.  </w:t>
        <w:br/>
        <w:t xml:space="preserve">2 Prosegur is represented in 17 countries and employs more than 155,000 people worldwide at over 400 locations and has 3,800 armored cash transport vehicles (http://www.prosegur.de/DE/Prosegurweltweit/DatenFakten/index.htm).  </w:t>
        <w:br/>
        <w:t xml:space="preserve">3 For the service offerings of Prosegur, see http://www.prosegur.de/DE/Services/index.htm.  </w:t>
        <w:br/>
        <w:t xml:space="preserve">(6) In the area of self-service services, Prosegur manages ATMs on behalf of payment institutions.4 These services include minor maintenance work and troubleshooting, the provision of liquidity, as well as planning the necessary liquidity to reduce capital costs.  </w:t>
        <w:br/>
        <w:t xml:space="preserve">(7) The area of valuables transport ("courier services") includes the transport of business documents and other security-relevant documents and valuables (e.g., watches, jewelry) as part of existing routes as a carry-on or as an exclusive service with overnight delivery (E+1). Prosegur also offers customers mailroom management.5  </w:t>
        <w:br/>
        <w:t xml:space="preserve">(8) Finally, the service spectrum of Prosegur includes the area of security technology. This includes the development of security strategies, e.g., for buildings, the implementation of which (including the installation of technical systems) is also carried out by Prosegur. In this context, Prosegur also operates a 24-hour emergency call and service control center.  </w:t>
        <w:br/>
        <w:t xml:space="preserve">(9) Prosegur claims to be the market leader in cash and valuables transport in Germany6 and has 29 branches evenly distributed across Germany. Prosegur employs more than [2,900] at the 29 locations and has [more than 700] armored vehicles in operation.7 Prosegur operates […] cash processing centers (Cash Centers), where the entire spectrum of cash processing is offered, as well as […] cash centers where parts of the services are offered (e.g., replenishment of ATM cassettes). In addition, Prosegur maintains […] locations where only vehicles are stationed (vehicle bases), which are used as starting points for trips to customers. Through the network of nationwide branches, Prosegur is the only provider of cash and valuables services in Germany that can offer these comprehensively throughout the entire federal territory without resorting to cooperation partners, thus not using subcontractors for its own execution.  </w:t>
        <w:br/>
        <w:t xml:space="preserve">4 ATMs in Germany are not exclusively operated by credit institutions. Payment institutions licensed under § 8 Abs. 1 ZAG can also offer such services.  </w:t>
        <w:br/>
        <w:t xml:space="preserve">5 This includes, among other things, the processing and distribution of incoming mail as well as the handling of outgoing mail.  </w:t>
        <w:br/>
        <w:t xml:space="preserve">6 See http://www.prosegur.de/DE/ProsegurinDeutschland/index.htm, status as of 28.06.2013.  </w:t>
        <w:br/>
        <w:t>7 […]</w:t>
      </w:r>
    </w:p>
    <w:p>
      <w:r>
        <w:rPr>
          <w:b/>
        </w:rPr>
        <w:t>[Pages 16–18]</w:t>
      </w:r>
    </w:p>
    <w:p>
      <w:r>
        <w:t xml:space="preserve">16  </w:t>
        <w:br/>
        <w:t xml:space="preserve">uses orders and does not act as a subcontractor for competitors itself.8  </w:t>
        <w:br/>
        <w:t xml:space="preserve">(10) Prosegur is a member of the Federal Association of German Cash and Value Services e.V., Bad Homburg (BDGW), and provides one of the deputy chairpersons there.  </w:t>
        <w:br/>
        <w:t xml:space="preserve">b. Revenues  </w:t>
        <w:br/>
        <w:t xml:space="preserve">(11) According to the information in the application, which relates to the fiscal year 2011, Prosegur SA achieved worldwide revenues of €2.81 billion.9 Of this, […] billion euros were generated within the European Union. […] million euros were generated within Germany, of which […] million euros were attributable to the cash services sector. Approximately […]% of the revenue in the cash services sector was generated with retail companies, about […]% with financial institutions, and around […]% with public institutions.10  </w:t>
        <w:br/>
        <w:t xml:space="preserve">(12) On a nationwide basis, Prosegur's share of the nationwide revenue in the cash services sector would be [25-30]%.11  </w:t>
        <w:br/>
        <w:t xml:space="preserve">2. Brink’s  </w:t>
        <w:br/>
        <w:t xml:space="preserve">a. Activity and Structure of the Company  </w:t>
        <w:br/>
        <w:t xml:space="preserve">(13) Brink's also offers cash services to customers in the retail and banking sectors. This includes cash transport (banknotes and coins), cash processing (counting the cash as well as preparing and executing deposits at the Deutsche Bundesbank). Customers are simultaneously supplied with change. In addition, the service offering also includes the maintenance of ATMs for banks and payment institutions. This involves both filling and recounting the cash reserves in the ATMs, as well as resolving simple technical malfunctions.  </w:t>
        <w:br/>
        <w:t xml:space="preserve">(14) Brink's Deutschland GmbH currently also offers value transport services to customers.12 However, this business area is not part of the merger. Services related to the provision of value transports will be transferred prior to the merger to Brink's Global Services GmbH and Brink's Pan European Transport GmbH (collectively referred to as Brink's Global Services).  </w:t>
        <w:br/>
        <w:t xml:space="preserve">(15) Brink's does not operate nationwide but offers its services regionally around the operated branches.  </w:t>
        <w:br/>
        <w:t xml:space="preserve">(16) Brink's has been providing cash services in Germany for over 40 years and offers these from nine regional locations. These include Frankfurt a.M., Berlin, Chemnitz, Hamburg, Leipzig (Sietzsch), Munich, Nuremberg, Weimar, and Kassel. At these locations, Brink's also operates a cash center. In Kiel, the company maintains a vehicle base with an armored vehicle and three employees, who are organizationally assigned to the Hamburg branch.13  </w:t>
        <w:br/>
        <w:t xml:space="preserve">Overall, Brink’s has […] armored and […] unarmored vehicles in Germany and employs […] employees.14  </w:t>
        <w:br/>
        <w:t xml:space="preserve">(17) In 2012, Brink's conducted a strategic realignment of its business area. From the joined party Unicorn, Brink's acquired branches in Sietzsch (near Leipzig), Chemnitz, and Weimar, as well as customer contracts in Kassel. In return, Brink's ceased its business activities in the regions of Hanover, Stuttgart, Solingen, and Saarlouis.15 For the contracts held by Brink's with customers requesting services in the areas from which the company has withdrawn, the services have since been increasingly provided through subcontractors.  </w:t>
        <w:br/>
        <w:t xml:space="preserve">Figure 1 - Overview of the federal states in which Brink's provides cash services16  </w:t>
        <w:br/>
        <w:t xml:space="preserve">(18) The focus of Brink's business activities lies in providing services to […].  </w:t>
        <w:br/>
        <w:t xml:space="preserve">(19) Brink’s Transport &amp; Service GmbH and Brink’s Deutschland GmbH are subsidiaries of the internationally operating security service company The Brink’s Company based in Richmond, Virginia/USA. The Brink’s Company is also active in Europe in Belgium, Austria, France, Italy, Bulgaria, Cyprus, Denmark, Greece, Hungary, Ireland, Estonia, Latvia, Liechtenstein, Luxembourg, Malta, the Netherlands, Poland, Portugal, and the United Kingdom. In Germany, The Brink’s Company is also active in other areas through subsidiaries after the merger.  </w:t>
        <w:br/>
        <w:t>16 See submission by RA Dr. Karenfort, Dentons, dated March 4, 2013, Annex 1 Cartel Office Question 7_Brinks_Ende 2012.130225 (3).PDF, p. 149 d.A.</w:t>
      </w:r>
    </w:p>
    <w:p>
      <w:r>
        <w:rPr>
          <w:b/>
        </w:rPr>
        <w:t>[Pages 19–21]</w:t>
      </w:r>
    </w:p>
    <w:p>
      <w:r>
        <w:t xml:space="preserve">19  </w:t>
        <w:br/>
        <w:t xml:space="preserve">which, however, are not the subject of the notified merger, e.g., security services.  </w:t>
        <w:br/>
        <w:t xml:space="preserve">(20) Brink’s is a member of the BDGW and provides one of the deputy chairpersons there.  </w:t>
        <w:br/>
        <w:t xml:space="preserve">b. Revenues  </w:t>
        <w:br/>
        <w:t xml:space="preserve">(21) The two target companies achieved combined revenues of [...] million euros in the fiscal year 2011.17 These were entirely generated domestically. On a nationwide basis, Brink’s share of the nationwide revenue in the cash services sector would be [5-10]%.  </w:t>
        <w:br/>
        <w:t xml:space="preserve">B. The Joined Parties  </w:t>
        <w:br/>
        <w:t xml:space="preserve">1. Unicorn Geld- und Wertdienstleistungen GmbH  </w:t>
        <w:br/>
        <w:t xml:space="preserve">a. Activity and Structure of the Company  </w:t>
        <w:br/>
        <w:t xml:space="preserve">(22) Unicorn Geld- und Wertdienstleistungen GmbH (hereinafter: Unicorn), based in Hanover, was joined to the proceedings upon its application by decision dated March 6, 2013.  </w:t>
        <w:br/>
        <w:t xml:space="preserve">(23) Unicorn offers both cash services and value transport. Other security services are not part of the portfolio of offered services. Unicorn collects or delivers cash at customers' locations. The company also provides services related to the operation of ATMs. In its cash centers, Unicorn conducts cash processing (counting of banknotes and coins) and organizes the deposit of customer funds via the Bundesbank into a customer account. As part of coin recycling, the company operates coin dispensers on behalf of DZ-Bank AG, Frankfurt, and supplies customers with change from the coin stocks stored with it. In the context of value transports (which Unicorn internally refers to as value logistics), valuable items are transported for customers. In this context, Unicorn also offers documentation logistics as a partial service.19 Cash services and value logistics are provided by Unicorn in a unified business area, using the same infrastructure that is also used for cash services.  </w:t>
        <w:br/>
        <w:t xml:space="preserve">(24) Unicorn operates 15 locations, some of which serve as driving bases, while the majority are operated as combined driving bases with cash centers for cash processing. From the individual locations, Unicorn provides its services within a limited radius around each location.20  </w:t>
        <w:br/>
        <w:t xml:space="preserve">(25) With the currently operated locations, Unicorn covers larger areas of Germany in the provision of services, but is not active nationwide throughout the entire federal territory. Unicorn offers cash services in western Germany and around its branches in Stuttgart, Leipzig, and Berlin. In areas where Unicorn does not provide services itself, but has contractually promised customers the provision of cash services, the company uses various competitors as subcontractors. Conversely, Unicorn also acts as a subcontractor for competitors when their business areas do not include individual customer locations. The subcontractor agreements may be ad hoc contracts or framework agreements. There are cooperations with Brink's and other companies active in the market regarding the provision of cash services to customers. The activities performed for Brink's alone amounted to a revenue volume of around [...] million euros for the year 2012.21  </w:t>
        <w:br/>
        <w:t xml:space="preserve">18 Unicorn refers in its response to the information decision dated March 15, 2013, that the service referred to as value transport by the decision-making department in the information decision is "commonly referred to in the industry as value logistics (WLOG)."  </w:t>
        <w:br/>
        <w:t xml:space="preserve">19 Collection and delivery of documentation goods.  </w:t>
        <w:br/>
        <w:t xml:space="preserve">20 See Unicorn's response to question 7 of the information decision dated March 15, 2013.  </w:t>
        <w:br/>
        <w:t>21 Submission by RA Dr. Karenfort, Salans (now Dentons), dated March 4, 2013, response to question 11 b, page 9, annex 8 (Annex 8 Kartellamt_Frage 11b_Brinks.v3.130227_(Kooperationspartner für Brink's).XLSX), p. 227 d.A.</w:t>
      </w:r>
    </w:p>
    <w:p>
      <w:r>
        <w:t xml:space="preserve">b. Revenues  </w:t>
        <w:br/>
        <w:t xml:space="preserve">(26) Based on the revenues achieved, Unicorn, alongside the merging parties, Ziemann Sicherheit GmbH (hereinafter: Ziemann) and KÖTTER Geld- &amp; Wertdienste GmbH &amp; Co. KG (hereinafter: Kötter), belongs to the group of the five largest providers in Germany. Unicorn achieved revenues of 56 million euros in the fiscal year 2011, representing a revenue-related share of [10%-15%] in the nationwide consideration of cash services.  </w:t>
        <w:br/>
        <w:t xml:space="preserve">2. Ziemann Sicherheit GmbH  </w:t>
        <w:br/>
        <w:t xml:space="preserve">a. Activity and Structure of the Company  </w:t>
        <w:br/>
        <w:t xml:space="preserve">(27) Ziemann, based in Schallstadt (near Freiburg), was joined to the proceedings upon its application by decision dated April 3, 2013.  </w:t>
        <w:br/>
        <w:t xml:space="preserve">(28) Ziemann has been active in Germany since 1956. The company is a security firm operating regionally in various regions of Germany. Ziemann is not active abroad. In the area of cash services, Ziemann offers all common services in this field. These include cash transport, cash processing, and deposits at the Bundesbank. Ziemann handles both cash disposal and cash supply. Customers of the company come from the retail and banking sectors. The service portfolio also includes the filling and emptying as well as the securing of the technical support of ATMs. In the area of value logistics, the company offers the transport of precious metals and other valuable items (e.g., documentation).  </w:t>
        <w:br/>
        <w:t>(29) Ziemann operates 12 locations nationwide. These are predominantly driving bases with a cash center for cash processing. The locations are mainly located in Baden-Württemberg (Mannheim, Karlsruhe, Stuttgart, Villingen, Schallstadt, Lörrach).</w:t>
      </w:r>
    </w:p>
    <w:p>
      <w:r>
        <w:rPr>
          <w:b/>
        </w:rPr>
        <w:t>[Pages 22–24]</w:t>
      </w:r>
    </w:p>
    <w:p>
      <w:r>
        <w:t xml:space="preserve">22  </w:t>
        <w:br/>
        <w:t xml:space="preserve">and Ulm), in Bavaria (Nuremberg, Munich, and Rosenheim) as well as in Bexbach, Saarland. Thus, Ziemann offers services in Bavaria, Baden-Württemberg, Rhineland-Palatinate, Hesse, and Saarland. In addition, the company maintains a location in Lübeck, Schleswig-Holstein, which Ziemann acquired by taking over the Lübeck cash center in 2012. From there, the federal states of Schleswig-Holstein, Hamburg, and parts of Mecklenburg-Vorpommern are served.  </w:t>
        <w:br/>
        <w:t xml:space="preserve">(30) Ziemann operates as a cooperation partner for two companies in the market that do not have their own operational infrastructures for service provision but enter into contracts with customers and commission various cash service providers for service delivery (hereinafter referred to as brokers). These include both Soltrx Transaction Services GmbH, Düsseldorf (hereinafter: STS), and CashLogistik Security AG, Düsseldorf (hereinafter: Cash Logistik). Ziemann collaborates as a subcontractor with other service providers in the execution of regional contracts and also operates as a subcontractor.23 Among the contractual partners for whom Ziemann provides subcontractor services is Brink’s, with which revenues of approximately […] million euros were generated in 2012.  </w:t>
        <w:br/>
        <w:t xml:space="preserve">b. Revenues  </w:t>
        <w:br/>
        <w:t xml:space="preserve">(31) Since 2008, Ziemann has been part of the Hannover Finanz Group.24 In the last fiscal year 2012, Ziemann achieved a revenue share of [10%-15%] in a nationwide consideration of cash services.  </w:t>
        <w:br/>
        <w:t xml:space="preserve">(32) By letter dated May 10, 2013, Ziemann notified the Federal Cartel Office of the acquisition of Unicorn (B4-44/13). In the proceedings, the main examination procedure was initiated by letter dated June 6, 2013, and a draft decision was sent by letter dated July 11. Prosegur has been joined in these proceedings.  </w:t>
        <w:br/>
        <w:t xml:space="preserve">23 See Ziemann's response to question 12 of the information resolution dated March 18, 2013.  </w:t>
        <w:br/>
        <w:t>24 See B4-75/08.</w:t>
      </w:r>
    </w:p>
    <w:p>
      <w:r>
        <w:t xml:space="preserve">23  </w:t>
        <w:br/>
        <w:t xml:space="preserve">III. Procedural History  </w:t>
        <w:br/>
        <w:t xml:space="preserve">A. Notification and Deadline  </w:t>
        <w:br/>
        <w:t xml:space="preserve">(33) By letter dated February 1, 2013, received by fax on the same day, the parties to the merger notified the Federal Cartel Office of the project.  </w:t>
        <w:br/>
        <w:t xml:space="preserve">(34) By letter dated February 20, 2013, sent by fax on February 21, 2013, the representatives of the parties to the merger were informed in accordance with § 40 Abs. 1 GWB about the entry into the main examination procedure (monthly letter). The representatives of the parties confirmed receipt of the notification with acknowledgment of receipt dated February 21, 2013, received on the same day (authorized representatives Prosegur SA), and on February 22, 2013 (authorized representatives Brink’s).  </w:t>
        <w:br/>
        <w:t xml:space="preserve">(35) The deadline was initially extended to June 25, 2013, with the consent of the representatives of the notifying companies (§ 40 Abs. 2 Sentence 4 No. 1 GWB). The representatives expressed their consent by letter dated April 19, 2013. By letter dated May 13, 2013, the representatives of the notifying companies expressed their consent to a further extension of the deadline until July 19, 2013.  </w:t>
        <w:br/>
        <w:t xml:space="preserve">(36) The State Cartel Office of Hesse received the draft decision by letter dated July 1, 2013, in accordance with § 40 Abs. 4 GWB with the opportunity to comment. The LKB Hesse did not provide any comments on this.  </w:t>
        <w:br/>
        <w:t xml:space="preserve">B. Joinders  </w:t>
        <w:br/>
        <w:t xml:space="preserve">(37) By letter dated February 21, 2013, Unicorn requested to be joined to the proceedings. The parties to the merger were each given the opportunity to comment on this by letter dated February 22, 2013, until February 27, 2013. By letter dated February 27, 2013, the authorized representative of Prosegur SA for the parties to the merger stated that no objections would be raised against the joinder. On March 6, 2013, the Federal Cartel Office joined Unicorn to the proceedings.  </w:t>
        <w:br/>
        <w:t xml:space="preserve">(38) By letter dated March 20, 2013, Ziemann requested to be joined to the proceedings. The parties to the merger were each given the opportunity to comment on this by letter dated March 20, 2013, until March 25, 2013. The joined party Unicorn was also given the opportunity to comment by letter dated March 26, 2013, until March 27, 2013. By letter dated March 25, the authorized representatives of Prosegur SA for the parties to the merger stated that no objections would be raised against the joinder. Unicorn also stated by letter dated March 27, 2013, that no objections would be raised against the joinder of Ziemann. On April 3, 2013, the Federal Cartel Office joined Ziemann to the proceedings.  </w:t>
        <w:br/>
        <w:t xml:space="preserve">C. Investigations  </w:t>
        <w:br/>
        <w:t xml:space="preserve">(39) The Federal Cartel Office has repeatedly requested information from the parties involved, their competitors, and customers regarding their economic circumstances and the submission of documents, particularly concerning branch and postal code-related revenues (§ 59 Abs. 1 GWB).  </w:t>
        <w:br/>
        <w:t xml:space="preserve">1. Parties Involved  </w:t>
        <w:br/>
        <w:t xml:space="preserve">(40) During the proceedings, the Federal Cartel Office requested information from the parties to the merger regarding their business activities. These requests for information were conducted through informal investigations.  </w:t>
        <w:br/>
        <w:t>(41) By letters dated February 22, 2013, the Federal Cartel Office sent the parties to the merger a questionnaire with a request for response by February 27, 2013. The questionnaire served the purpose of factual and geographical market delineation as well as the assessment of competitive conditions in the affected markets.</w:t>
      </w:r>
    </w:p>
    <w:p>
      <w:r>
        <w:rPr>
          <w:b/>
        </w:rPr>
        <w:t>[Pages 25–27]</w:t>
      </w:r>
    </w:p>
    <w:p>
      <w:r>
        <w:t xml:space="preserve">25  </w:t>
        <w:br/>
        <w:t xml:space="preserve">(42) The Bundeskartellamt also conducted investigations by phone and in writing regarding, among other things, the competitors active in the market and individual branches of the merging parties.  </w:t>
        <w:br/>
        <w:t xml:space="preserve">(43) Further investigations concerned the extent of investments in operational infrastructure, their financing, the amount of investment needs, the time requirements, as well as other requirements for market entry in the cash services sector, particularly regarding the establishment of a Cash Center, as well as information on Prosegur's financing options in the context of utilizing the capital market, Prosegur's investment activities, and information on the utilization of the branches of the parties involved.  </w:t>
        <w:br/>
        <w:t xml:space="preserve">(44) Furthermore, revenue figures for the individual branches of the merging parties were determined with postal code precision.  </w:t>
        <w:br/>
        <w:t xml:space="preserve">(45) On May 8, 2013, a visit to Prosegur's Cash Center in Düsseldorf took place. The workflows were explained to the Bundeskartellamt there.  </w:t>
        <w:br/>
        <w:t xml:space="preserve">(46) Finally, the Bundeskartellamt conducted investigations into lost and won customer contracts, average contract durations, average notice periods, as well as customers who utilize services from both Brink's and Prosegur. Additionally, information on Brink's financial situation and internal strategic documents were evaluated.  </w:t>
        <w:br/>
        <w:t xml:space="preserve">(47) The Bundeskartellamt also requested and evaluated information on Prosegur's offering behavior towards customers.  </w:t>
        <w:br/>
        <w:t xml:space="preserve">2. Competitors and Joined Parties  </w:t>
        <w:br/>
        <w:t xml:space="preserve">(48) Initially, the Bundeskartellamt contacted the competitors of the merging parties mentioned in the notification by phone. The providers were asked for their assessments of the competitive conditions in the market for cash services. Further questions aimed to assess the relevant product and geographic markets and possible barriers to market entry.  </w:t>
        <w:br/>
        <w:t xml:space="preserve">(49) By information order (§ 59 GWB) dated March 18, 2013, the Bundeskartellamt surveyed all cash and valuables service providers who are members of the BDGW, as well as all other competitors named by the merging parties who are active in the area of cash services or value transports. The questions particularly served to delineate the relevant product market and to determine the relevant geographic market. Furthermore, the questions aimed to ascertain market volumes and market shares.  </w:t>
        <w:br/>
        <w:t xml:space="preserve">(50) Possible competitors in the markets of Hamburg, Berlin, and Munich, whose branches are located outside the operational radius of Brink's branches, were asked about their revenues within the Brink's areas to add these to the market volume.  </w:t>
        <w:br/>
        <w:t xml:space="preserve">(51) The Bundeskartellamt also held a discussion with the joined party Unicorn. The provider and demand structure in the cash services market was discussed in particular.  </w:t>
        <w:br/>
        <w:t xml:space="preserve">(52) By information order dated June 5, 2013, the Bundeskartellamt finally surveyed regional competitors and competitors in the markets of Hamburg, Berlin, and Munich regarding their financial strength and their willingness and ability to expand their business activities in the area of cash services to other regions.  </w:t>
        <w:br/>
        <w:t xml:space="preserve">3. Brokers  </w:t>
        <w:br/>
        <w:t xml:space="preserve">(53) By email dated April 15, 2013, the Bundeskartellamt surveyed providers of cash services who do not provide these services themselves but assign them to cooperation partners. This served to determine the business model of the companies and their function as well as their significance for the cash services market.  </w:t>
        <w:br/>
        <w:t xml:space="preserve">4. Demanders  </w:t>
        <w:br/>
        <w:t xml:space="preserve">(54) Initially, the Bundeskartellamt also contacted the demanders of the merging parties mentioned in the notification by phone to ascertain the purchasing behavior of retail companies and financial institutions as well as regional and national demanders. A supplementary survey took place in mid-April 2013.  </w:t>
        <w:br/>
        <w:t xml:space="preserve">(55) By information order dated April 30, 2013, the Bundeskartellamt then surveyed regional demanders in the markets of Hamburg, Berlin, and Munich regarding their awarding of contracts, which service providers they consider as alternatives, and what possible impacts the intended merger would have on their companies.  </w:t>
        <w:br/>
        <w:t xml:space="preserve">(56) Also, by information order dated May 28, 2013, the Bundeskartellamt surveyed financial institutions and retail companies. The questions served to ascertain the purchasing behavior of significant demanders (regional or national), particularly whether they consider strategic considerations regarding the maintenance of a certain provider structure when deciding on contract awards.  </w:t>
        <w:br/>
        <w:t xml:space="preserve">(57) By letter dated July 2, 2013, the Bundeskartellamt conducted a market test with competitors and demanders to evaluate the commitments offered by the merging parties.  </w:t>
        <w:br/>
        <w:t xml:space="preserve">D. Right to be Heard  </w:t>
        <w:br/>
        <w:t>(58) The merging parties were informed by the Bundeskartellamt at various times about the status of the investigations and were given the opportunity to comment. In April 2013, the parties were informed during a joint phone call with representatives of Prosegur and Brink's that cash services likely pertained to regional markets in which the merging parties had joint market shares that raised concerns under merger control law. The merging parties were informed of the preliminary market shares in the regional markets.</w:t>
      </w:r>
    </w:p>
    <w:p>
      <w:r>
        <w:rPr>
          <w:b/>
        </w:rPr>
        <w:t>[Pages 28–30]</w:t>
      </w:r>
    </w:p>
    <w:p>
      <w:r>
        <w:t xml:space="preserve">28  </w:t>
        <w:br/>
        <w:t xml:space="preserve">(59) On May 8, 2013, a meeting took place between representatives of the Federal Cartel Office and the merging parties in Düsseldorf. The Federal Cartel Office explained its approach to the geographic market definition based on a presentation and outlined the markets where, according to the investigation results conducted up to that point, the merger would likely lead to the creation or strengthening of a dominant market position. The markets for cash services in Hamburg, Berlin, and Munich were presented in detail. The representatives of the Federal Cartel Office illustrated the geographic market definition based on revenues in five-digit postal code areas using graphical representations. The parties were informed during the presentation about the market position of the merging parties, and in anonymized form, also about the market positions of competitors in the three markets in Hamburg, Berlin, and Munich.  </w:t>
        <w:br/>
        <w:t xml:space="preserve">(60) On May 10, 2013, the merging parties submitted a statement regarding the investigation results presented by the Federal Cartel Office on May 8, 2013. The merging parties argued that, in their view, the determined nationwide market volume was too low, that the geographic market should be defined nationwide, and that even with a regional market definition, there were no antitrust concerns. On May 21, 2013, the merging parties submitted a supplementary statement, in which they stated that the parties were not close competitors and that even after a merger, no dominant position of the merging parties would arise in regional markets. The statement included an expert opinion from the consulting firm RBB Economics. In a letter dated June 5, 2013, the Federal Cartel Office informed the merging parties that the results of the expert opinion could not be taken into account due to the incomplete data basis. The merging parties subsequently submitted supplementary documents regarding the RBB expert opinion on June 11, 2013.  </w:t>
        <w:br/>
        <w:t xml:space="preserve">(61) On June 21, 2013, a meeting took place with the parties at the Federal Cartel Office. During the meeting, the factual and geographic market definitions were presented again, and the investigation results and antitrust considerations regarding the markets in Hamburg and Munich on the one hand and the market in the Berlin region on the other hand were explained and discussed with the merging parties. In this context, the preliminary assessment of the effects of the merger project Ziemann/Unicorn on the regional markets affected by the present merger, particularly Hamburg, Berlin, Stuttgart, and Munich, was also explained by the representatives of the Federal Cartel Office. Furthermore, the representatives of the Federal Cartel Office explained that, based on the RBB Economics expert opinion, even after the supplements, no reliable conclusions could be drawn regarding the competitive conditions in the affected markets as a whole, as the data basis was incomplete concerning the overall market dynamics and also showed inconsistencies. Therefore, the expert opinion had very limited relevance regarding the merger project.  </w:t>
        <w:br/>
        <w:t xml:space="preserve">(62) In the context of the file inspection, the merging parties received the non-confidential responses of competitors to the information order dated March 18, 2013, on May 14 and 16, 2013. On June 18, 2013, the merging parties gained access to the non-confidential responses of the trading companies and banks that had been surveyed under the information order dated May 28, 2013. On July 3, 2013, the representatives of Party 1 received further access to supplementary documents from the survey at the premises of the Federal Cartel Office, and on July 12, 2013, they gained access to the responses to the market test.  </w:t>
        <w:br/>
        <w:t xml:space="preserve">(63) In the meeting on June 21, 2013, the possibility of mitigating the prohibition through conditions was also discussed between the merging parties and the representatives of the Federal Cartel Office. The merging parties initially presented a proposal for commitments verbally and sent a written commitment offer on July 1, 2013.25 These commitments were discussed in several conference calls – the last on July 17, 2013 – with the merging parties. They were also given the opportunity to present their views in writing on the changes made by the Federal Cartel Office. The Federal Cartel Office sent the commitment proposal to demanders and providers of cash services for comment on July 2, 201326 (market test). The feedback from the surveyed companies regarding the market test indicated a fundamental suitability of the commitments.  </w:t>
        <w:br/>
        <w:t xml:space="preserve">(64) On July 4, 2013, a meeting took place with the trustee selected by Prosegur at the Federal Cartel Office. On July 15, 2013, the merging parties also submitted the draft of the trustee agreement.  </w:t>
        <w:br/>
        <w:t xml:space="preserve">(65) The Federal Cartel Office sent the merging parties the draft decision on July 1, 2013, and granted a deadline for comments until July 8, 2013, taking into account the legal hearing that had already taken place verbally.  </w:t>
        <w:br/>
        <w:t xml:space="preserve">(66) The joined parties each received a version of the draft decision, purged of business secrets, by fax on July 2, 2013, and were also given the opportunity to submit comments by July 8, 2013, after they had already been informed by phone in June about the factual and geographic market definitions as well as the competitive assessment of the market areas in Berlin, Hamburg, and Munich.  </w:t>
        <w:br/>
        <w:t xml:space="preserve">IV. Formal Prohibition Requirements  </w:t>
        <w:br/>
        <w:t xml:space="preserve">A. Scope of Application of the GWB  </w:t>
        <w:br/>
        <w:t xml:space="preserve">(67) The project has effects in Germany, as both merging parties operate in Germany and generate revenues here (§ 130 Abs. 2 GWB). Due to the level of revenues, merger control applies. The revenues of the participating companies exceeded €500 million worldwide in the last fiscal year (§ 35 Abs. 1 Nr. 1 GWB). Prosegur and Brink’s each generated more than €25 million in revenues domestically, thus also exceeding the revenue thresholds of § 35 Abs. 1 Nr. 2 GWB.  </w:t>
        <w:br/>
        <w:t>(68) The so-called de minimis clause of § 35 Abs. 2 Satz 1 Nr. 1 GWB is also not applicable.</w:t>
      </w:r>
    </w:p>
    <w:p>
      <w:r>
        <w:rPr>
          <w:b/>
        </w:rPr>
        <w:t>[Pages 31–33]</w:t>
      </w:r>
    </w:p>
    <w:p>
      <w:r>
        <w:t xml:space="preserve">31  </w:t>
        <w:br/>
        <w:t xml:space="preserve">(69) The European Commission is not responsible for the merger control examination of the merger (§ 35 Abs. 3 GWB). The thresholds of Regulation (EC) No. 139/2004 of the Council on the control of concentrations between undertakings (Merger Regulation) are not exceeded.  </w:t>
        <w:br/>
        <w:t xml:space="preserve">B. Merger Conditions  </w:t>
        <w:br/>
        <w:t xml:space="preserve">(70) The acquisition of 100% of the shares in Brink's Deutschland GmbH and Brink’s Transport &amp; Service GmbH, both based in Frankfurt a.M., by Prosegur constitutes a single merger project. The project meets the merger conditions of § 37 Abs. 1 Nr. 2 (acquisition of control) and Nr. 3 lit. a (acquisition of more than 50%) GWB.  </w:t>
        <w:br/>
        <w:t xml:space="preserve">V. Substantive Conditions for Prohibition  </w:t>
        <w:br/>
        <w:t xml:space="preserve">(71) A merger that would significantly impede effective competition is to be prohibited. This does not apply if the parties can demonstrate in accordance with § 36 Abs. 1 Satz 2 Nr. 1 GWB that the merger also leads to improvements in competitive conditions that outweigh the hindrance to competition, or if a minor market in the sense of § 36 Abs. 1 Satz 2 Nr. 2 GWB is affected. The notified merger project meets the prohibition conditions in the notified form according to § 36 Abs. 1 GWB.  </w:t>
        <w:br/>
        <w:t xml:space="preserve">A. Framework Conditions of Competition in the Area of Cash and Value Transport Services  </w:t>
        <w:br/>
        <w:t xml:space="preserve">1. Cash Services  </w:t>
        <w:br/>
        <w:t xml:space="preserve">(72) Cash service providers offer services in the cash cycle. On the one hand, they take care of the cash supply for banks and ATMs as well as the supply of change to retailers. The funds are collected from the Bundesbank on behalf of the customer, packaged27, and delivered. On the other hand, cash service providers handle the disposal of cash that arises, for example, in retail. Here, a distinction must be made between coins and banknotes. Banknotes are sorted and checked for authenticity and damage. Subsequently, these must be brought by the cash service provider for deposit into a customer account at a Bundesbank branch. For coins, in addition to the deposit in the form of standardized batch sizes (standard containers) at the Bundesbank, there is the possibility to reintroduce them into circulation (coin recycling). The Payment Services Supervision Act (ZAG) regulates that cash recycling may only take place with a license from the Federal Financial Supervisory Authority (BaFin). Currently, no cash service provider possesses such a license. However, cash service providers can conduct cash recycling in cooperation with a bank. Banks maintain so-called coin safes at cash service providers, in which the coin stocks of the banks are stored. Here, returned coins can be deposited, which can then be reintroduced into circulation as change. The coins can thus be credited to the customer account and reintroduced into the cash flow without having been deposited at the Bundesbank.  </w:t>
        <w:br/>
        <w:t xml:space="preserve">Cash Cycle Alternative Cycle with Cash Recycling  </w:t>
        <w:br/>
        <w:t xml:space="preserve">Bundesbank Coin Safe at  </w:t>
        <w:br/>
        <w:t xml:space="preserve">Cash Service Provider  </w:t>
        <w:br/>
        <w:t xml:space="preserve">Retail Bank Retail Bank/Retail  </w:t>
        <w:br/>
        <w:t xml:space="preserve">Customer Customer  </w:t>
        <w:br/>
        <w:t xml:space="preserve">Figure 2 - Cash Cycle  </w:t>
        <w:br/>
        <w:t xml:space="preserve">(73) An essential factor for efficient service delivery is a minimum turnover in a specific area per location. This minimum turnover is calculated by cash service providers, among other things, based on the respective stop density (i.e., stops per hour during tours to provide cash services). Therefore, a customer network of a certain size and specific composition is required for a successful market presence. This typically includes one or more anchor customers who request multiple stops in an area and form the basis for an economical tour execution. These can be banks or retail companies with a sufficient number of branches in a region. The stop density for tours for anchor customers can be increased by additional stops at smaller customers with a lower number of stops. If a cash service provider has only one or two anchor customers, this can lead to it becoming unprofitable to remain active in certain areas if it loses an anchor customer. Examples of this are ITT28 and Arndt Sicherheit und Service29. After the insolvency of the drugstore operator Anton Schlecker in spring 2012, ITT withdrew from Berlin, while Arndt Sicherheit und Service itself encountered financial difficulties, leading the latter company to completely withdraw from the cash service sector. In any case, the density of the network for which cash services are provided results in economies of scale and increasing efficiency in service delivery.  </w:t>
        <w:br/>
        <w:t xml:space="preserve">(74) Island solutions, where different branches represent a non-contiguous area, cannot be maintained successfully by providers in the long term. This was one of the reasons for the branch exchange between Brink’s and Unicorn (B9-23/12).  </w:t>
        <w:br/>
        <w:t xml:space="preserve">2. Providers  </w:t>
        <w:br/>
        <w:t xml:space="preserve">(75) Unlike in most neighboring countries, the provider structure of cash service providers in Germany is heterogeneous. Currently, there are local, regional, supra-regional, and a single nationwide provider (Prosegur). Supra-regional providers include Unicorn, Ziemann, Kötter, and Brink’s. These companies cover larger regions – but not the entire federal territory. In addition, there are regional medium-sized providers such as ITT, WSN30, Götz31, WSD32, b.i.g.33, or SVG AG34, which only operate in specific areas.  </w:t>
        <w:br/>
        <w:t xml:space="preserve">28 ITT Industrie- und Transportschutz Thüringen GmbH, Erfurt.  </w:t>
        <w:br/>
        <w:t xml:space="preserve">29 Arndt – Sicherheit und Service GmbH &amp; Co. KG, Fürth.  </w:t>
        <w:br/>
        <w:t xml:space="preserve">30 WSN Sicherheit und Service GmbH, Neubrandenburg.  </w:t>
        <w:br/>
        <w:t xml:space="preserve">31 Götz Management – Holding AG, Regensburg.  </w:t>
        <w:br/>
        <w:t xml:space="preserve">32 WSD Security und Service GmbH, Winterbach.  </w:t>
        <w:br/>
        <w:t>33 b.i.g. Sicherheit GmbH, Karlsruhe.</w:t>
      </w:r>
    </w:p>
    <w:p>
      <w:r>
        <w:rPr>
          <w:b/>
        </w:rPr>
        <w:t>[Pages 34–36]</w:t>
      </w:r>
    </w:p>
    <w:p>
      <w:r>
        <w:t xml:space="preserve">34  </w:t>
        <w:br/>
        <w:t xml:space="preserve">focus on a region.35 Additionally, there are various local providers that offer cash services, usually from a single location. In total, there are about 60 cash service providers operating in Germany, the majority of which are regional or local providers.  </w:t>
        <w:br/>
        <w:t xml:space="preserve">(76) Cross-border providers are currently not active in the German market or only to a negligible extent.  </w:t>
        <w:br/>
        <w:t xml:space="preserve">(77) Regional and local providers sometimes engage other cash service providers in the form of subcontracting agreements to serve customers whose demand exceeds their own area of operation.  </w:t>
        <w:br/>
        <w:t xml:space="preserve">(78) Most providers in the market are companies organized within the BDGW. A few companies not organized in the BDGW are also active in the market, but only to a very limited extent. Membership in the BDGW is regularly made a condition for engagement by customers, as it conducts audit services in the form of BDGW security standards at member companies.  </w:t>
        <w:br/>
        <w:t xml:space="preserve">3. Brokers  </w:t>
        <w:br/>
        <w:t xml:space="preserve">(79) In addition to the providers of cash services active in the market, there are also various companies that market cash services to customers without having their own infrastructure to provide the service to the customer. This includes, for example, STS Soltrx Transaction Services GmbH, Düsseldorf, a subsidiary of Commerzbank AG, Cashy Service GmbH, Potsdam, a company of the East German Savings Banks and Giro Association, which offers its services to the affiliated savings banks, as well as Cash Logistik Security AG, Düsseldorf, as a joint venture of medium-sized cash service providers.36  </w:t>
        <w:br/>
        <w:t xml:space="preserve">34 SVG Sicherheitsverwaltungs AG, Wilhelmshaven.  </w:t>
        <w:br/>
        <w:t xml:space="preserve">35 These employ between 250 and 400 employees at 3-5 locations, have between 50 and 100 vehicles, and generate revenues of more than 10 million euros each.  </w:t>
        <w:br/>
        <w:t>36 Ziemann is currently a shareholder of Cash Logistik and holds a minority stake that is not associated with any control rights.</w:t>
      </w:r>
    </w:p>
    <w:p>
      <w:r>
        <w:t xml:space="preserve">35  </w:t>
        <w:br/>
        <w:t xml:space="preserve">(80) The first two mentioned companies conclude contracts with customers for the services to be provided and engage market-active cash service providers to deliver the service. Cash Logistik also concludes service contracts with customers, whereby in these cases a large part of the service provision is carried out by shareholders of the company.  </w:t>
        <w:br/>
        <w:t xml:space="preserve">4. Demanders  </w:t>
        <w:br/>
        <w:t xml:space="preserve">(81) Demanders of cash services are companies that generate cash in the course of their business activities to an extent that makes it impractical for their own personnel to handle deposits. Demanders can include, for example, companies in retail, hotels and restaurants, vending machine operators (e.g., tobacco, beverage, parking, and ticket machines), or banks that withdraw and deposit cash reserves with the Bundesbank to supply their branches with sufficient cash. The demand for cash services is not part of the core business for any of these companies (cf. para. 86).  </w:t>
        <w:br/>
        <w:t xml:space="preserve">(82) Customers request services for regions of varying sizes and with varying numbers of stops. There are nationwide demanders, regional demanders with multiple stops, and small demanders who may only request one stop. Services for banks are generally more expensive than services for retail companies.  </w:t>
        <w:br/>
        <w:t xml:space="preserve">(83) The behavior of demanders is still influenced by the fraud scandals of the companies Heros and Arnolds in 2006, which embezzled customer funds to a significant extent.37 This led to the bankruptcy of these providers and, particularly in the case of Heros, to substantial losses for customers, which in turn caused significant insecurity among demanders. This insecurity towards cash service providers is still widespread in the market. Prices were under significant pressure due to the aggressive market presence of Heros, as Heros subsidized low prices with the embezzled funds.  </w:t>
        <w:br/>
        <w:t>37 In the case of Heros, 27 million euros of customer funds were embezzled, for which the company's managers were sentenced to long prison terms in 2007. Heros was a nationwide security company with 4,600 employees and was taken over after its bankruptcy by SecurLog, which was subsequently acquired by Prosegur on December 30, 2011.</w:t>
      </w:r>
    </w:p>
    <w:p>
      <w:r>
        <w:t xml:space="preserve">36  </w:t>
        <w:br/>
        <w:t xml:space="preserve">(84) Although competitors in the market assert that price increases have since been difficult to implement, demanders state that price adjustments are repeatedly enforced and accepted. […]  </w:t>
        <w:br/>
        <w:t xml:space="preserve">(85) Larger, nationwide companies organize the distribution of orders centrally to ensure compliance with uniform performance requirements and risk assessment standards. However, very few companies centrally award cash services to a single provider. This is partly due to the regionally diverse provider structure. On the other hand, regional order allocation occurs from a risk perspective to spread the risk associated with the service providers used and to avoid significant losses or supply problems arising from issues with a single provider.  </w:t>
        <w:br/>
        <w:t>(86) Demanders differ in terms of their varying security requirements and price sensitivity. Since the costs of cash service providers do not affect the core business of the demanders and only constitute a small cost block for these companies, they are sometimes less price-sensitive than they are in their core business. Larger demanders from the retail sector are generally more price-sensitive and more willing to switch providers than demanders from the banking sector. The latter typically place even greater emphasis on aspects of security and creditworthiness, as well as on trustworthy collaboration. For all demanders, security is much more at the forefront of their purchasing behavior than is the case with the demand for goods or services in their core business. This way, they aim to minimize the risk of fraud and protect themselves against service failures in the event of a provider's bankruptcy. On the other hand, retail companies and banks also strive to keep the effort associated with demand as low as possible, as it is not their core business. This is reflected in the fact that demanders do not regularly conduct formalized tenders. Instead, many demanders check regional price levels through informal inquiries with competitors at more or less regular intervals without actually switching providers. Contractual relationships are therefore de facto regularly of significant duration.</w:t>
      </w:r>
    </w:p>
    <w:p>
      <w:r>
        <w:rPr>
          <w:b/>
        </w:rPr>
        <w:t>[Pages 37–39]</w:t>
      </w:r>
    </w:p>
    <w:p>
      <w:r>
        <w:t xml:space="preserve">37  </w:t>
        <w:br/>
        <w:t xml:space="preserve">B. Substantive Market Definition  </w:t>
        <w:br/>
        <w:t xml:space="preserve">(87) The substantive market in which the merging parties operate is the market for cash services (hereinafter also: Cash Services). This includes both the transport of coins and banknotes to and from the customer (CIT: Cash in Transit), the processing of cash in a cash center, as well as the filling and maintenance of ATMs requested by credit institutions and financial institutions, including the execution and monitoring of fault management.  </w:t>
        <w:br/>
        <w:t xml:space="preserve">(88) Not included in the relevant substantive market are value transports or value logistics provided in the route business, and security and guarding services.  </w:t>
        <w:br/>
        <w:t xml:space="preserve">1. Approach to Defining a Distinct Market for Cash Services Including the Filling and Maintenance of ATMs  </w:t>
        <w:br/>
        <w:t xml:space="preserve">(89) In addressing the issue of substantive market definition, the Federal Cartel Office has taken into account the decision-making practice of the Federal Cartel Office and the European Commission, the presentation of the merging parties, as well as the results of the survey of competitors and customers named by the parties.  </w:t>
        <w:br/>
        <w:t xml:space="preserve">2. Previous Decision-Making Practice of the Federal Cartel Office and the European Commission  </w:t>
        <w:br/>
        <w:t xml:space="preserve">(90) In the previous merger control decisions of the Federal Cartel Office and the European Commission, the question of substantive market definition has not been conclusively decided.  </w:t>
        <w:br/>
        <w:t xml:space="preserve">a. Decision-Making Practice of the European Commission  </w:t>
        <w:br/>
        <w:t xml:space="preserve">(91) In 2004, in the context of the merger project Group 4 Falck/Securicor (Comp/M. 3396), the European Commission defined a market for Cash In Transit (CIT) in its substantive market definition. The Commission based its decision on the fact that cash services can include the transport of cash (CIT), cash processing (Cash Management), as well as value transports. In the context of substantive market definition, the Commission did not include other services, such as cash processing (Cash Management) or value transports, as there were no overlaps in the activities of the parties involved in the merger in these areas.38 In connection with CIT services, the Commission also included services provided in the context of the filling and maintenance of ATMs, although these services are provided by companies whose employees require special skills that include the maintenance and troubleshooting of the devices. The Commission stated in its decision that not all companies operating in the market offer both services and thus do not qualify as providers for all customers in the same way. In particular, the European Commission noted the lack of flexibility of providers regarding ATM services and addressed the selection decision of customers for a specific provider. However, since the overlaps in the areas of activity of the parties included both services for the filling and maintenance of ATMs as well as traditional CIT services, the Commission attributed both services to one market.  </w:t>
        <w:br/>
        <w:t xml:space="preserve">b. Decision-Making Practice of the Federal Cartel Office  </w:t>
        <w:br/>
        <w:t xml:space="preserve">(92) In its previous decision-making practice, the Federal Cartel Office defined a market for cash services, including both cash transport and cash processing as well as services related to the operation of ATMs (filling and maintenance) in the relevant substantive market. The previous argument against defining distinct substantive markets for the partial services was that these services are generally not separately demanded by customers in the market and are regularly provided together by companies in the market. The Federal Cartel Office has previously distinguished the market for cash services from services in the area of security and guarding services, even though these are often offered by companies together with cash services. The decisive factor for this was the fact that these services are not considered interchangeable from the demand perspective and are not necessarily demanded together.39  </w:t>
        <w:br/>
        <w:t xml:space="preserve">3. Presentation of the Parties Regarding Substantive Market Definition  </w:t>
        <w:br/>
        <w:t xml:space="preserve">a. Presentation of the Merging Parties  </w:t>
        <w:br/>
        <w:t xml:space="preserve">(93) The merging parties assert in their application that there is a unified market for security services, to which the market segment for cash services should be attributed, but not the area of value transports. They state that at least the larger providers in the market offer a variety of security services that are also interconnected to some extent. Furthermore, large customers such as banks and retail chains demand a variety of such services.40  </w:t>
        <w:br/>
        <w:t xml:space="preserve">(94) In the relationship between cash services and value transports, which at least in the context of the transport process occur in part within the same routes as cash services, the merging parties assume significant differences in the provision of these services. They state that the services are generally demanded separately. They further explain that even for customers who utilize both services, the demand comes from separate organizational units.41 Regarding the provider structure, the merging parties point out that cash service providers generally only conduct value transport as a so-called "pick-up business," while companies like DHL, UPS, DPD, and FedEx, which provide parcel services, also routinely conduct value transports in this context.42 According to the presentation of the merging parties,  </w:t>
        <w:br/>
        <w:t xml:space="preserve">39 See Federal Cartel Office, Activity Report 2005/2006, Cash Transport, p. 150.  </w:t>
        <w:br/>
        <w:t xml:space="preserve">40 See Application p. 7, p. 9 of the file.  </w:t>
        <w:br/>
        <w:t xml:space="preserve">41 See Submission by Attorney Besen, Clifford Chance, dated March 4, 2013, p. 6, p. 292 of the file.  </w:t>
        <w:br/>
        <w:t>42 See Submission by Attorney Besen, Clifford Chance, dated March 4, 2013, p. 7, p. 293 of the file.</w:t>
      </w:r>
    </w:p>
    <w:p>
      <w:r>
        <w:rPr>
          <w:b/>
        </w:rPr>
        <w:t>[Pages 40–42]</w:t>
      </w:r>
    </w:p>
    <w:p>
      <w:r>
        <w:t xml:space="preserve">40  </w:t>
        <w:br/>
        <w:t xml:space="preserve">The merging parties also include specialized providers for value transport that do not offer cash services.43  </w:t>
        <w:br/>
        <w:t xml:space="preserve">(95) Prosegur states that the majority of its business is conducted in the area of value transport for customers with a regular shipment volume and that it essentially constitutes a service comparable to that of a parcel service provider. However, Prosegur only accepts orders from commercial customers with whom a framework agreement or a single transport contract has been concluded in advance, in which liability and insurance issues are clarified. Deliveries can be directed to both commercial and private recipients. Prosegur does not accept orders from private individuals.44  </w:t>
        <w:br/>
        <w:t xml:space="preserve">b. Presentation of the Joined Parties  </w:t>
        <w:br/>
        <w:t xml:space="preserve">(96) The joined parties have not explicitly presented their views on the relevant market delineation in the present proceedings. In the context of the merger proceedings B4-44/13 (Ziemann/Unicorn), they also left the exact market delineation open. From the perspective of the joined parties, the predominant arguments speak in favor of a unified market for cash services, encompassing the areas of transport, cash processing, and ATM services. According to the joined parties, approximately 90% of market participants provide services in all segments of cash services. For providers, switching between ATM services and transport services is easily possible. Transport services and ATM services are provided by the same service providers on the same routes and with the same vehicles. Likewise, cash processing and transport services are provided by the same providers and are not offered separately.  </w:t>
        <w:br/>
        <w:t xml:space="preserve">43 See submission by attorney Dr. Karenfort, Salans (now Dentons), dated March 4, 2013, p. 4, p. 139 of the file. As examples, VIA Mat International GmbH, Raunheim, and G4Si, Neu-Isenburg, are mentioned as pure value service providers. Both companies have confirmed to the decision-making department that they offer value transport but no cash services.  </w:t>
        <w:br/>
        <w:t>44 See submission by attorney Besen, Clifford Chance, dated March 4, 2013, p. 3 f., p. 289 f. of the file.</w:t>
      </w:r>
    </w:p>
    <w:p>
      <w:r>
        <w:t xml:space="preserve">41  </w:t>
        <w:br/>
        <w:t xml:space="preserve">(97) For a further delineated market that includes security services, it is argued that numerous providers offer both cash and value services as well as security and guarding services.  </w:t>
        <w:br/>
        <w:t xml:space="preserve">(98) In response to the information request decision dated March 18, 2013, Unicorn stated that cash transports generally occur on fixed routes and value transports are made at the customer's request. Furthermore, there is no processing of the valuables. A significant difference between cash transports and value transports is that cash transports are always made from a specific location, whereas value transports are usually interregional transports, which require a connection between the locations.45  </w:t>
        <w:br/>
        <w:t xml:space="preserve">4. Results of the Investigations  </w:t>
        <w:br/>
        <w:t xml:space="preserve">a. Transport and processing of cash constitutes the relevant market for cash services  </w:t>
        <w:br/>
        <w:t xml:space="preserve">(99) The surveyed competitors confirm that cash services consist of the transport of cash between cash centers and the customer's location, and the service includes the processing of cash (coins and banknotes) as well as deposits at the Deutsche Bundesbank. The investigations have also revealed that, as a rule, the simple technical maintenance of ATMs is part of the competitors' portfolio. However, the responses from the surveyed companies also show that there are specialized providers that exclusively or predominantly provide only individual partial services from the area of cash services. For example, service providers such as Siba security service GmbH, Berlin,46 and Securicoin GmbH, Munich47, primarily provide cash services in the area of coin processing. Both do not provide ATM services, and Siba provides services related to banknotes only to a limited extent. Other companies indicated that they only offer cash transports and utilize cash centers of competitors for cash processing (Protect &amp; Secure GmbH).48 Since these specific providers are not dominant in the market, the Bundeskartellamt assumes a unified market for cash services.  </w:t>
        <w:br/>
        <w:t xml:space="preserve">b. No distinction based on the type of demand (retail/banks)  </w:t>
        <w:br/>
        <w:t xml:space="preserve">(100) The survey of competitors confirms that cash services provided by suppliers cannot be distinguished by customer groups, particularly that a differentiation between retail, banks, and other demanders in the sense of independent relevant markets is not appropriate. The surveyed providers of cash services regularly provide services to customers from various industries. While the surveyed competitors often presented the different pricing structures in comparison between banks and retail companies ([…]), they also emphasized the necessity of a balanced relationship between the two customer groups ([…]), with bank customers being seen as the basis for planning profitable routes, on which the inclusion of price-sensitive retail customers occurs.  </w:t>
        <w:br/>
        <w:t xml:space="preserve">c. Independent market for value logistics  </w:t>
        <w:br/>
        <w:t>(101) The investigations have shown that cash services and value logistics belong to different relevant markets. Differences arise from the fact that value logistics involves the pure transport of a valuable item without any processing, as is standard in cash services.49 To the extent that companies provide value logistics in terms of the transport of valuables, parts of the surveyed competitors have interpreted the question of which services they provide in the areas of cash services and value transports in such a way that the partial service cash processing is attributed to the area of cash services and the partial service cash transport (Cash in Transit: CIT) to value transport. In this respect, they provide information about an activity in the area of value transports without thereby defining the</w:t>
      </w:r>
    </w:p>
    <w:p>
      <w:r>
        <w:rPr>
          <w:b/>
        </w:rPr>
        <w:t>[Pages 43–45]</w:t>
      </w:r>
    </w:p>
    <w:p>
      <w:r>
        <w:t xml:space="preserve">43  </w:t>
        <w:br/>
        <w:t xml:space="preserve">provide cash valuables, some of them indicate that they provide this service for clients who also use cash services (e.g., HEROS Geld- und Werttransport GmbH). However, they confirm the perspective of the parties involved that this service is often rendered by cash service providers as merely a carry-on business50 and not as a separate service. Unlike cash services, the interregional transport of valuables is demanded as a point-to-point connection. Therefore, providers of value logistics must establish a more elaborate network than pure cash service providers. Value logistics is thus more comparable to the services of a parcel delivery service than to cash services. Providers in this area are accordingly parcel companies that have a corresponding network, or Prosegur with its comprehensive branch network. Additionally, demand comes not only from banks and retail companies but also, for example, from watch and jewelry stores.  </w:t>
        <w:br/>
        <w:t xml:space="preserve">d. Independent Market for Security Services  </w:t>
        <w:br/>
        <w:t xml:space="preserve">(102) Technical security services and guarding services are not attributable to the market for cash services. On the one hand, from the providers' perspective, there is no immediate shift in supply between cash services and security services, as these are carried out with different personnel and different vehicles. On the other hand, from the demand side, there is no substitutive relationship between the services. These are demanded by different companies, at least by different business units. Even though numerous companies offer both cash services and security services, the interregional transport of valuables is meant. Cf. Response b.i.g. sicherheit gmbh object and personal protection, Halle, to question 2 of the information decision dated March 15, 2013, non-confidential version page 4. Likewise, response Siba to question 1. B) of the information decision: Value transports: "Only cash transports, no valuables or precious metal transports. Currency only in connection with cash disposal."  </w:t>
        <w:br/>
        <w:t>50 The distinction that companies have classified cash transport as value transport also affects the distribution of revenues of the individual companies. While the revenues of the merging parties relate exclusively to cash services and do not include value transports, the decision-making department has recorded the total revenues for cash services and value transports for competitors. To the extent that companies have actually provided information on revenues from value transports and not cash transports, these revenues were included in the competitive assessment of the market volume. This approach affects the determination of market shares in favor of the parties involved, as it tends to overstate the revenue of competitors with cash services.</w:t>
      </w:r>
    </w:p>
    <w:p>
      <w:r>
        <w:t xml:space="preserve">44  </w:t>
        <w:br/>
        <w:t xml:space="preserve">Security services in these companies are, in any case, organizationally separated from cash services. There are numerous specialized providers that offer not cash services, but either only security or guarding services, or security services in combination with other services such as building cleaning.  </w:t>
        <w:br/>
        <w:t xml:space="preserve">C. Geographical Market Definition  </w:t>
        <w:br/>
        <w:t xml:space="preserve">(103) The markets for cash services must be defined regionally. This results particularly from the investigations into the procurement behavior of the demanders. This demand behavior is essentially characterized by the different geographical distribution of providers of cash services. As a result of the investigations, the Bundeskartellamt has defined separate geographical markets, including for Berlin, Hamburg, and Munich, and has examined the competitive conditions in these market areas in detail. Other market areas, where the merger project does not lead to any or to no significant market share additions, have not been analyzed in detail by the Bundeskartellamt.  </w:t>
        <w:br/>
        <w:t xml:space="preserve">1. The Concept of Geographical Market Definition  </w:t>
        <w:br/>
        <w:t xml:space="preserve">(104) To determine the competitive forces to which the companies involved in the merger are exposed, the market must be defined not only in terms of product but also geographically. The geographical market definition is a construct to answer the question of whether the company is without competitors after the merger or is not exposed to significant competition or has a dominant market position in relation to its competitors.51  </w:t>
        <w:br/>
        <w:t xml:space="preserve">(105) Just as for the product market definition, the demand market concept also applies here. Accordingly, for merger control, the demand market is geographically relevant, which is affected by the merger project. It includes those demanders who, according to the actual circumstances of the specific case, can be considered as purchasers for the offer of the merging parties and who can restrict the competitive options of the companies involved in the merger. The geographical market delineates the circle of demanders that is relevant for the assessment of the merger and forms the area in which the involved companies offer their services.52  </w:t>
        <w:br/>
        <w:t xml:space="preserve">(106) In this context, only the actual sourcing alternatives of the market side should be considered. Sourcing alternatives that are not actually perceived or hardly perceived by the market side remain disregarded in this respect.53  </w:t>
        <w:br/>
        <w:t xml:space="preserve">(107) The geographical market should form an area in which the competitive conditions are sufficiently homogeneous and which differs from neighboring areas by noticeably different competitive conditions. For this, market entry barriers and significant differences in market shares are among the considerations.54  </w:t>
        <w:br/>
        <w:t xml:space="preserve">(108) Consequently, the Bundeskartellamt has examined the supply areas for cash services resulting from the individual branches of the parties and the actual demand of the purchasers of cash services and has based the geographical market definition on this.  </w:t>
        <w:br/>
        <w:t xml:space="preserve">52 Cf. BGH, decision dated January 16, 2008, KVR 26/07, Kreiskrankenhaus Bad Neustadt, cited according to juris, para. 69.  </w:t>
        <w:br/>
        <w:t xml:space="preserve">53 Ibid, para. 65 (footnote 2).  </w:t>
        <w:br/>
        <w:t>54 Cf. Communication from the Commission on the definition of the relevant market within the meaning of Community competition law, Official Journal of the European Communities, (97/C 372/03), p. 6 para. 8; Article 9 para. 7 Regulation (EC) No. 139/2004 of the Council of January 20, 2004, on the control of concentrations between undertakings, Official Journal L24 of January 29, 2004.</w:t>
      </w:r>
    </w:p>
    <w:p>
      <w:r>
        <w:rPr>
          <w:b/>
        </w:rPr>
        <w:t>[Pages 46–48]</w:t>
      </w:r>
    </w:p>
    <w:p>
      <w:r>
        <w:t xml:space="preserve">46  </w:t>
        <w:br/>
        <w:t xml:space="preserve">2. Previous Practice of the Federal Cartel Office and the European Commission  </w:t>
        <w:br/>
        <w:t xml:space="preserve">a. Decision-Making Practice of the European Commission  </w:t>
        <w:br/>
        <w:t xml:space="preserve">(109) In the context of delineating a geographically relevant market for CIT services55, the European Commission also did not make a conclusive decision in the merger control procedure Comp/M. 3396 (Group 4 Falck / Securicor). The Commission explicitly excluded a market that is larger than the territory of a single Member State.56 The investigations of the European Commission at that time revealed no cross-border offers in this area. For countries such as Luxembourg and the Netherlands, the European Commission concluded that CIT services are provided on a national market there. For the United Kingdom, a regional market was delineated for the purpose of the decision, which included the territory of Scotland.  </w:t>
        <w:br/>
        <w:t xml:space="preserve">(110) For Germany, no conclusive geographical market delineation was made in the decision, as the merger did not lead to competition problems even when delineating regional markets.57 The parties involved in the Commission's proceedings argued that the business areas around a branch could be described by a radius of between 50 and 80 km in urban areas with a higher demand density, while in more rural areas, they exhibited a radius of between 150 and 200 km. However, the larger radii of the business areas in rural areas could not be confirmed by the investigations of the European Commission.  </w:t>
        <w:br/>
        <w:t xml:space="preserve">(111) In its decision, the European Commission points out that, due to a lack of transparency for the demand side, the competitive situation in a regional market cannot easily be transferred to other regional markets. Due to the absence of price lists at the national level, providers with overlapping business areas are indeed forced to mutually adjust their prices, but only in the areas where they are actually in competition with each other. The formation of a larger market due to "propagating" competitive forces was rejected by the European Commission in its decision.  </w:t>
        <w:br/>
        <w:t xml:space="preserve">b. Decision-Making Practice of the Federal Cartel Office  </w:t>
        <w:br/>
        <w:t xml:space="preserve">(112) In the mergers examined so far by the Federal Cartel Office, where relevant markets for cash services were delineated, the question of whether these services constitute nationwide or regional markets could always remain open due to a lack of decision relevance.58  </w:t>
        <w:br/>
        <w:t xml:space="preserve">3. Presentation of the Parties Regarding Geographical Market Delineation  </w:t>
        <w:br/>
        <w:t xml:space="preserve">a. Presentation of the Merging Parties  </w:t>
        <w:br/>
        <w:t xml:space="preserve">(113) The merging parties advocate for the delineation of at least a nationwide market for cash services. They derive a tendency towards cross-border markets from the measures taken by the European Commission to improve cross-border cash transport. However, in previous proceedings, Brink’s had considered a regional market delineation to be appropriate.59  </w:t>
        <w:br/>
        <w:t xml:space="preserve">(114) In the written submission dated May 10, 2013, the merging parties address the approach to delineating regional markets presented by the Federal Cartel Office during the discussion on May 8, 2013 (based on the regional Brink's branches). In this context, the merging parties emphasize that a geographical delineation of the market for cash services that is narrower than a nationwide market delineation would not accurately reflect the economic reality of the cash service industry.60 This results from the fact that through cooperation agreements, smaller providers could also operate nationwide, for example as cooperation partners of Cash Logistik Security AG or the Commerzbank subsidiary STS. The cooperation agreements led to a uniform price level and homogeneous competitive conditions in Germany. Also, due to the closure of Bundesbank branches, through which the deposit of cash into customer accounts takes place, there will soon be an expansion of business areas and, due to the resulting competitive pressure, a nationwide market will emerge. Finally, the merging parties cite the purchasing behavior of certain larger customers with a regional or national demand for cash services as evidence of a regional or nationwide market. The ability of competitors to expand their business areas through the short-term establishment of new branches (operational bases or cash centers) also demonstrates that market entry barriers are low and indicate nationwide homogeneous competitive conditions.  </w:t>
        <w:br/>
        <w:t xml:space="preserve">(115) In the event of a – from the perspective of the parties hypothetical – consideration of regional markets, the radii for delineating such markets should be drawn further out due to the requirements of the demanders than assumed by the decision-making department based on the distance to 95% of customer locations. Furthermore, the observed behavior of competitors in the market must be taken into account. As a result, a radius of at least […] km around a branch should be assumed.61 With such an approach, the business areas of the individual branches of the parties would overlap to such a significant extent that this would lead to "cloud formation," which in turn would lead to the formation of a national market. The parties refer in this regard to the practice of the 1st Decision-Making Department of the Federal Cartel Office in the markets for asphalt mixtures (B1-190/08, B1-190/07 as well as B1-169/05 and the sector inquiry on rolled asphalt from 2012).  </w:t>
        <w:br/>
        <w:t xml:space="preserve">60 Cf. Written submission by Clifford Chance dated May 10, 2013, p. 12ff, p. 1006 ff. of the file.  </w:t>
        <w:br/>
        <w:t>61 Cf. Written submission by Clifford Chance dated May 10, 2013, p. 23ff, p. 1017 ff. of the file.</w:t>
      </w:r>
    </w:p>
    <w:p>
      <w:r>
        <w:rPr>
          <w:b/>
        </w:rPr>
        <w:t>[Pages 49–51]</w:t>
      </w:r>
    </w:p>
    <w:p>
      <w:r>
        <w:t xml:space="preserve">49  </w:t>
        <w:br/>
        <w:t xml:space="preserve">b. Presentation of the Joined Parties  </w:t>
        <w:br/>
        <w:t xml:space="preserve">(116) The joined parties assert in their notification of their own merger project (B4–44/13) that there are compelling reasons for a nationwide market.62 On the demand side, there is a significant number of nationwide active demanders with a nationwide need for cash services. However, regularly tendered contracts are divided into several regional lots for risk reasons. On the supply side, significant cash service providers operate regionally. Brokers (including Cash Logistik and STS) also accept nationwide contracts and distribute them to their regional cooperation partners.  </w:t>
        <w:br/>
        <w:t xml:space="preserve">(117) Furthermore, the joined parties also address aspects that argue for a regional market delineation. Their activities are limited to a specific business area around the respective regional location.  </w:t>
        <w:br/>
        <w:t xml:space="preserve">(118) Unicorn also cites various factors that restrict the geographical expansion of service provision. These include, among others, working time restrictions for cash transport employees. Within these working time limits, employees perform pre- and post-transport activities such as vehicle takeover, inspection, and loading of the vehicle. Additionally, a significant portion of the activity involves picking up and delivering cash to customers (stop times). Given the limited average driving speeds and the predominantly city-center locations of customer sites, only a portion of the working hours remains for pure driving times, which is why the action radii around the branches are limited.63 This also corresponds to Unicorn's presentation in previous merger proceedings.64  </w:t>
        <w:br/>
        <w:t xml:space="preserve">(119) Ziemann also presents factors that, alongside arguments for a nationwide market, restrict the operational area of a cash transport service provider and thus argue more for the delineation of regional markets. In particular, the ratio of travel time (arrival and departure) to the duration of service on-site must be considered. Only through a high number of customers (network density) does an economically sensible ratio between the two values arise.65  </w:t>
        <w:br/>
        <w:t xml:space="preserve">4. Result of the Market Investigation  </w:t>
        <w:br/>
        <w:t xml:space="preserve">(120) The spatial limitation of the markets for cash services essentially results from the regional limitation of supply and from the behavior of demanders adapted to these particularities.  </w:t>
        <w:br/>
        <w:t xml:space="preserve">a. The market is by no means larger than the federal territory  </w:t>
        <w:br/>
        <w:t xml:space="preserve">(121) Competition from cross-border companies providing cash services in Germany is currently not observable and seems difficult to reconcile with the requirements of European legal provisions in practice.  </w:t>
        <w:br/>
        <w:t xml:space="preserve">(122) Generally, it is true that Regulation (EU) No. 1214/2011 of the European Parliament and of the Council of November 16, 2011, on the professional cross-border road transport of euro cash between the member states of the euro area66 aims to eliminate trade barriers within the euro area in the field of cash transport services. Cash transport services should thus be possible and facilitated across borders. Cash transport service providers can offer their services in other member states or deposit cash reserves with national central banks of other euro member states. However, to do this, service providers must obtain a "license for cross-border cash transports," which is issued by an authority in the service provider's country of origin.67  </w:t>
        <w:br/>
        <w:t xml:space="preserve">65 See response of the joined party Ziemann to question 6 of the information decision addressed to the competitor by the Federal Cartel Office dated March 15, 2013.  </w:t>
        <w:br/>
        <w:t xml:space="preserve">66 See Official Journal of the European Union L 316 of November 29, 2011, pp. 1–20.  </w:t>
        <w:br/>
        <w:t xml:space="preserve">67 In Germany, such a license is granted upon application by the Federal Office for Goods Transport (see http://www.bag.bund.de/DE/Navigation/Verkehrsaufgaben/Marktzugang/EU-Geldtransport/geldtransport_node.html, as of June 13, 2013).  </w:t>
        <w:br/>
        <w:t xml:space="preserve">(123) Of the merging parties, only Geldservice Austria, Vienna, Austria (GSA) was mentioned as a foreign provider of these services in Germany. The GSA has indeed offered such services in Germany in the past, but has since had to cease this activity due to the requirements of the aforementioned EU regulation. The company cited the requirements for the armoring of vehicles used for cross-border transports, which are not available in this configuration in Austria. Also, for transports in unarmored vehicles with appropriate security technology, which are fundamentally provided for under Articles 14 and 15 of Regulation 1214/2011, the Federal Office for Goods Transport is currently not issuing any licenses. The investigations of the Federal Cartel Office have not revealed any further competitor providing their services cross-border – that is, through a branch not located in the country.  </w:t>
        <w:br/>
        <w:t xml:space="preserve">(124) Providers operating in Germany are active in other European states, but provide these services through their own branches in the respective state. The provider structure in Germany differs significantly from that in other European states. Customers also do not request the services cross-border.  </w:t>
        <w:br/>
        <w:t xml:space="preserve">b. No nationwide market for cash services  </w:t>
        <w:br/>
        <w:t xml:space="preserve">(1) Behavior of the Market Counterpart  </w:t>
        <w:br/>
        <w:t>(125) Demanders of cash services essentially meet their needs in the market regionally, although larger demanders conduct tenders and negotiations for these services centrally.68 Companies that centrally organize the procurement of cash services want to ensure that the requirements, particularly regarding creditworthiness and reliability, are uniformly defined and observed across the entire company. In the overwhelming majority, these companies do not award contracts to a single cash service provider, but to several providers that cover individual regions.68 See, for example, the response of Netto Marken Discount AG &amp; Co. KG to question 2 of the information decision dated May 28, 2013.</w:t>
      </w:r>
    </w:p>
    <w:p>
      <w:r>
        <w:rPr>
          <w:b/>
        </w:rPr>
        <w:t>[Pages 52–54]</w:t>
      </w:r>
    </w:p>
    <w:p>
      <w:r>
        <w:t xml:space="preserve">52  </w:t>
        <w:br/>
        <w:t xml:space="preserve">cover. Such a small number of companies centrally commission only one provider, so this demand behavior is not market-defining. It is also unusual for retail companies with a larger branch network to engage a single cash service provider. Typically, these companies diversify their demand and commission various regionally active companies for each part of the overall service. The same applies to the surveyed nationwide credit institutions. Thus, they adapt their demand behavior to the structure of regionally active companies.  </w:t>
        <w:br/>
        <w:t xml:space="preserve">(126) Customers with a low order volume also inquire with the locally based companies. Locally or regionally active credit institutions such as savings banks or cooperative banks almost exclusively commission only one of the providers operating locally with a branch and only consider such companies as alternatives in the event of a provider change.  </w:t>
        <w:br/>
        <w:t xml:space="preserve">(2) Geographic Reach of Cash Service Providers  </w:t>
        <w:br/>
        <w:t xml:space="preserve">(127) With the exception of Prosegur, no cash service provider has a distribution of locations that allows for nationwide market coverage. This is particularly true for the respective medium-sized companies in the industry, which together – through their joint service provision in Cash Logistik Security – have such a low market weight that they currently cannot offer a significant number of customers an alternative for centralized procurement.69  </w:t>
        <w:br/>
        <w:t xml:space="preserve">(128) Finally, the market areas do not overlap in such a way that this leads to a nationwide market delineation. Rather, the competitive conditions are different in the individual market areas due to the varying provider and customer structures.  </w:t>
        <w:br/>
        <w:t xml:space="preserve">(129) The areas of activity of the branches operated by Brink's are described by the merging parties by indicating a radius of an average of […] km around the respective location. The radii within which the individual branches offer their services vary between […] km70 and […] km71.72  </w:t>
        <w:br/>
        <w:t xml:space="preserve">(130) Additionally, the parties provided the decision-making department with the radii within which 95% of the customer locations served by Brink's are located. With […] km73 and […] km74, these are significantly smaller than the radii related to all customers.75 On average, 95% of customers are served in an area with a radius of 75 km around the branch. For the location of the third party (Brink's Transport &amp; Service GmbH) in Berlin, the merging parties indicate […] km as the relevant radius within which 95% of customer locations are served.  </w:t>
        <w:br/>
        <w:t xml:space="preserve">(131) For the target companies, the areas of activity of their branches are as follows:  </w:t>
        <w:br/>
        <w:t xml:space="preserve">[…]  </w:t>
        <w:br/>
        <w:t xml:space="preserve">Figure 3 - Areas of Activity of the Branches Operated by Brink's  </w:t>
        <w:br/>
        <w:t xml:space="preserve">(132) For Prosegur, the parties provide comparable information. Accordingly, customers are served within a radius around the respective branches of approximately […] km with cash services. The distance specifications range between […] km76 and […] km77 around the individual branches.78 For the consideration of the areas of activity based on the stops that cover 95% of the kilometers traveled, the parties also mention significantly lower values for the branches of Prosegur. Accordingly, services for this segment of customers are provided within an average radius of […] km with extreme values between […] km79 and […] km80.  </w:t>
        <w:br/>
        <w:t xml:space="preserve">70 Brink's location Berlin.  </w:t>
        <w:br/>
        <w:t xml:space="preserve">71 Brink's branch Sietzsch near Leipzig.  </w:t>
        <w:br/>
        <w:t xml:space="preserve">72 Email from RA Besen, Clifford Chance, dated April 15, 2013, attachment: Brinks_Fragebogen Wettbewerber_Kartellamt_Frage 7 und Nachfrage Frage 5.xls, p. 649 d.A.  </w:t>
        <w:br/>
        <w:t xml:space="preserve">73 Brink's location Berlin.  </w:t>
        <w:br/>
        <w:t xml:space="preserve">74 Brink's location Sietzsch near Leipzig.  </w:t>
        <w:br/>
        <w:t xml:space="preserve">75 Email from RA Besen, Clifford Chance, dated April 15, 2013, attachment: Brink_s_Fragebogen Wettbewerber_Kartellamt_Frage 7 und Nachfrage Frage 5.xls, p. 649 d.A.  </w:t>
        <w:br/>
        <w:t xml:space="preserve">76 E.g., the Prosegur branches in Flensburg and Hamburg.  </w:t>
        <w:br/>
        <w:t xml:space="preserve">77 Prosegur branch in Rostock.  </w:t>
        <w:br/>
        <w:t xml:space="preserve">78 See letter from Clifford Chance dated March 4, 2013, attachment 7.1, p. 307 d.A.  </w:t>
        <w:br/>
        <w:t xml:space="preserve">79 […] km was indicated as the radius for the branch in Flensburg. By comparison: the value for the Hamburg branch also drops to […] km in this consideration, p. 650 d.A.  </w:t>
        <w:br/>
        <w:t xml:space="preserve">80 Specification for the Prosegur branch in Augsburg. The Prosegur branch in Rostock, which initially indicated a maximum distance of […] km to a customer location (p. 307 d.A.), achieves an average distance of […] km to the furthest customer location based on the consideration of […]% of customers (p. 650 d.A.).  </w:t>
        <w:br/>
        <w:t xml:space="preserve">54  </w:t>
        <w:br/>
        <w:t xml:space="preserve">Prosegur, as the only cash service provider in the market, covers a nationwide network through the multitude of branches operated.  </w:t>
        <w:br/>
        <w:t xml:space="preserve">(133) For the acquirer, the areas of activity of its nationwide branches are as follows:  </w:t>
        <w:br/>
        <w:t xml:space="preserve">[…]  </w:t>
        <w:br/>
        <w:t xml:space="preserve">Figure 4 - Areas of Activity of the Branches Operated by Prosegur  </w:t>
        <w:br/>
        <w:t xml:space="preserve">(134) The surveyed competitors confirm in their responses the regional expansion of the business areas and the regional market delineation. They indicated that they operate on average within a radius of 108 km around their respective locations. The individual specifications vary between 10 and 300 km.82  </w:t>
        <w:br/>
        <w:t xml:space="preserve">(135) In addition to the parties, there are currently three other companies that would achieve a share of more than 10% of the total revenue of the industry in a nationwide consideration and are considered regional competitors because their activities are directed towards several federal states. The graphical representation of the areas of activity of these competitors also shows the different spatial activity focuses of the individual companies. The providers only compete with each other in specific regions, which is why there are no homogeneous competitive structures based on a nationwide consideration. The three companies are the joined party Ziemann, the joined party Unicorn, and Kötter, whose business areas are depicted in the following figures.  </w:t>
        <w:br/>
        <w:t xml:space="preserve">[…]  </w:t>
        <w:br/>
        <w:t xml:space="preserve">Figure 5 - Areas of Activity of the Branches Operated by Ziemann  </w:t>
        <w:br/>
        <w:t xml:space="preserve">[…]  </w:t>
        <w:br/>
        <w:t xml:space="preserve">Figure 6 - Areas of Activity of the Branches Operated by Unicorn  </w:t>
        <w:br/>
        <w:t xml:space="preserve">[…]  </w:t>
        <w:br/>
        <w:t xml:space="preserve">Figure 7 - Areas of Activity of the Branches Operated by Kötter  </w:t>
        <w:br/>
        <w:t xml:space="preserve">81 See email from RA Besen, Clifford Chance, dated April 15, 2013, attachment: Prosegur Niederlassungen.xlsx, p. 650 d.A.  </w:t>
        <w:br/>
        <w:t>82 Average of all location-related distance specifications to question 5 of the information decision to competitors dated March 15, 2013.</w:t>
      </w:r>
    </w:p>
    <w:p>
      <w:r>
        <w:rPr>
          <w:b/>
        </w:rPr>
        <w:t>[Pages 55–57]</w:t>
      </w:r>
    </w:p>
    <w:p>
      <w:r>
        <w:t xml:space="preserve">55  </w:t>
        <w:br/>
        <w:t xml:space="preserve">(136) The joined parties offer cash services within an average radius of approximately […] km around the respective location of the branch.83  </w:t>
        <w:br/>
        <w:t xml:space="preserve">(137) While Kötter and Unicorn have largely overlapping business areas in western Germany (federal states of Lower Saxony, North Rhine-Westphalia, Hesse, Rhineland-Palatinate, and Saarland), the business areas of Kötter and Ziemann overlap only slightly based on the radius consideration, primarily in Schleswig-Holstein and Hamburg84 as well as in Rhineland-Palatinate, Saarland, the southern part of Hesse, and the northern part of Baden-Württemberg. There are also overlaps in these areas between Unicorn and Ziemann, with a significantly stronger overlap of their business areas also in Baden-Württemberg.  </w:t>
        <w:br/>
        <w:t xml:space="preserve">(138) In addition to these regionally active companies, there are several other companies that would each achieve market shares of more than 1% but less than 10% based on nationwide revenue.85 These include the companies  </w:t>
        <w:br/>
        <w:t xml:space="preserve">• Götz Geld- und Wertdienste GmbH &amp; Co. KG (Götz),  </w:t>
        <w:br/>
        <w:t xml:space="preserve">• ITT Industrie- und Transportschutz Thüringen (ITT),  </w:t>
        <w:br/>
        <w:t xml:space="preserve">• WSN Sicherheit und Service GmbH (WSN),  </w:t>
        <w:br/>
        <w:t xml:space="preserve">• WSD Gailing GmbH (WSD),  </w:t>
        <w:br/>
        <w:t xml:space="preserve">• SVG AG with its subsidiaries TranSecurity Werttransporte &amp; Sicherheitsservice GmbH and MST Sicherheitstransportgesellschaft Mecklenburg mbH (SVG)  </w:t>
        <w:br/>
        <w:t xml:space="preserve">• GSB Security Gesellschaft für Geld- und Werttransporte mbH (GSB) and  </w:t>
        <w:br/>
        <w:t xml:space="preserve">• GWS Sicherheitsservice Geld-, Wert- und Sachtransporte GmbH (GWS Magdeburg).  </w:t>
        <w:br/>
        <w:t xml:space="preserve">• b.i.g. Sicherheit GmbH, Karlsruhe (b.i.g.)  </w:t>
        <w:br/>
        <w:t xml:space="preserve">83 See responses from the joined parties Unicorn and Ziemann (average value for all branches).  </w:t>
        <w:br/>
        <w:t xml:space="preserve">84 Kötter has designated this as its business area based on the radius consideration, but only generates low revenues in Schleswig-Holstein and Hamburg from contracts that are handled through subcontractors.  </w:t>
        <w:br/>
        <w:t>85 All other companies offer cash services from a single location in an even narrower catchment area and achieve less than 1% in a nationwide consideration. Their activities can still be significant in the material assessment of the competitive situation in a regional market (see activities of HLS in Hamburg).</w:t>
      </w:r>
    </w:p>
    <w:p>
      <w:r>
        <w:t xml:space="preserve">56  </w:t>
        <w:br/>
        <w:t xml:space="preserve">[…]  </w:t>
        <w:br/>
        <w:t xml:space="preserve">Figure 8 - Business Areas of the Branches Operated by Götz  </w:t>
        <w:br/>
        <w:t xml:space="preserve">[…]  </w:t>
        <w:br/>
        <w:t xml:space="preserve">Figure 9 - Business Areas of the Branches Operated by ITT  </w:t>
        <w:br/>
        <w:t xml:space="preserve">[…]  </w:t>
        <w:br/>
        <w:t xml:space="preserve">Figure 10 - Business Areas of the Branches Operated by WSN  </w:t>
        <w:br/>
        <w:t xml:space="preserve">[…]  </w:t>
        <w:br/>
        <w:t xml:space="preserve">Figure 11 - Business Areas of the Branches Operated by WSD Gailing  </w:t>
        <w:br/>
        <w:t xml:space="preserve">[…]  </w:t>
        <w:br/>
        <w:t xml:space="preserve">Figure 12 - Business Areas of the Branches Operated by SVG AG (MST and TranSecurity)  </w:t>
        <w:br/>
        <w:t xml:space="preserve">[…]  </w:t>
        <w:br/>
        <w:t xml:space="preserve">Figure 13 - Business Areas of the Branches Operated by GSB  </w:t>
        <w:br/>
        <w:t xml:space="preserve">[…]  </w:t>
        <w:br/>
        <w:t xml:space="preserve">Figure 14 - Business Areas of the Branch Operated by GWS Magdeburg  </w:t>
        <w:br/>
        <w:t xml:space="preserve">(139) The graphical representation of the business areas of these companies shows the regional orientation of their activities and leads to regionally varying competitive conditions.  </w:t>
        <w:br/>
        <w:t xml:space="preserve">(3) Differentiated Prices  </w:t>
        <w:br/>
        <w:t>(140) In addition to regional activity, the price differences for cash services presented by the merging parties in different regions argue against homogeneous competitive conditions in a nationwide consideration. These price differences rather indicate a regional market delineation.</w:t>
      </w:r>
    </w:p>
    <w:p>
      <w:r>
        <w:t xml:space="preserve">57  </w:t>
        <w:br/>
        <w:t xml:space="preserve">(141) As far as providers offer cash services, the respective prices for customers are not transparent.86 The competitors in the market do not publish price lists. Price differentiation is possible and necessary because the demand for the service does not relate to a homogeneous product. Differences in the service exist, for example, in the type and frequency as well as the timing of the use of cash services, but also due to the location of the customer branches where the service is provided. These factors have a significant impact on prices, as they determine, for example, whether certain services can be provided as part of an existing route or must be provided through individual trips without any network effects – i.e., additional utilization of existing routes.87 Providers have indicated that the distances to the places of service provision in relation to the provider's branch also influence pricing, as transport costs and personnel costs increase with distance.88  </w:t>
        <w:br/>
        <w:t xml:space="preserve">(142) The differences in service prices of the involved parties Prosegur exemplarily demonstrate that no uniform nationwide price level exists. […]  </w:t>
        <w:br/>
        <w:t xml:space="preserve">(143) […]  </w:t>
        <w:br/>
        <w:t xml:space="preserve">(144) The demand power of customers highlighted by the parties does not lead to regionally demanding customers paying uniform service prices. […]  </w:t>
        <w:br/>
        <w:t xml:space="preserve">(145) Price differences also exist regarding […]  </w:t>
        <w:br/>
        <w:t xml:space="preserve">86 See also the presentation of market conditions on the homepage of Cashy-Service GmbH http://www.cashy-service.de/leistungsportfolio/aktuelle-sitation.html and the statements of the European Commission in the procedure Comp/M. 3396 (Group 4 Falck/Securicor).  </w:t>
        <w:br/>
        <w:t xml:space="preserve">87 See response from Sparkasse Allgäu to question 6 of the information decision dated March 15, 2013, non-confidential version page 6. Sparkasse Allgäu states regarding the factors that are considered significant for the maximum distance between customer location and branch: “... customer density on the same route, as then possibly no new tour needs to be made, but an existing one can be expanded. ...”  </w:t>
        <w:br/>
        <w:t>88 See response from SecTra Security Transport GmbH, Völklingen, to question 6 of the information decision dated March 15, 2013, non-confidential version page 6. “... Answer: The higher this price is, the further one can also drive. As costs tend to rise, especially the gasoline/diesel price, local proximity to the customer is important. ...”; see Siba security service GmbH, Berlin, question 6 of the information decision dated March 15, 2013, p. 6.</w:t>
      </w:r>
    </w:p>
    <w:p>
      <w:r>
        <w:rPr>
          <w:b/>
        </w:rPr>
        <w:t>[Pages 58–60]</w:t>
      </w:r>
    </w:p>
    <w:p>
      <w:r>
        <w:t xml:space="preserve">58  </w:t>
        <w:br/>
        <w:t xml:space="preserve">(4) Activities of brokers do not lead to a nationwide uniform price level  </w:t>
        <w:br/>
        <w:t xml:space="preserve">(146) The existence of companies such as Cash Logistik and STS, which offer cash services to their customers without maintaining their own resources for service provision, does not lead to a standardization of competitive conditions in the market.  </w:t>
        <w:br/>
        <w:t xml:space="preserve">(147) These profit-oriented companies can only sell services in the market if they succeed in marketing added value to customers. However, they are dependent on the providers of cash services operating in the market, as they can only provide the required service to the customer in this way without their own infrastructure. They are in direct competition with the providers of cash services. Only if the transaction costs for the demander in forming smaller than nationwide lots are higher than the price markup that a broker calculates on the prices of the service providers can a broker's offer be successful at all. However, this has not been the case to any significant extent so far. How the opportunities for companies like Cash Logistik, for which Ziemann and Unicorn provide a significant share of cash services in the market, may develop is currently not foreseeable. In particular, it seems questionable whether Ziemann, after the completion of the merger with Unicorn and the associated significant expansion of its business area for acquiring regional customers, will be equally dependent on companies like Cash Logistik.  </w:t>
        <w:br/>
        <w:t xml:space="preserve">(148) Currently, these companies each achieve a share of less than 5% of the nationwide sales of cash services. Therefore, these offers do not have any market-shaping effect. Due to their dependence on cash service providers for service delivery, it is also not expected that this role will change significantly within the forecast period.  </w:t>
        <w:br/>
        <w:t>(5) Effects of the Bundesbank strategy to reduce the number of its branches</w:t>
      </w:r>
    </w:p>
    <w:p>
      <w:r>
        <w:t xml:space="preserve">59  </w:t>
        <w:br/>
        <w:t xml:space="preserve">(149) The effects of the planned closures of various Bundesbank branches cited by the parties will not lead to the emergence of a national market for cash services within the forecast period.  </w:t>
        <w:br/>
        <w:t xml:space="preserve">(150) Even if the Bundesbank reduces the number of its branches from the current 41 to 35 by 2015 as planned, the areas of activity of the competitors described above will not necessarily change in response. In each of these areas, there will continue to be branches of the Bundesbank through which cash services are provided. The reduction of the Bundesbank's branch network will likely lead to an increase in travel distances from the cash centers of the providers to the corresponding Bundesbank branch, which is expected to have a price-increasing effect on the provision of services. Demanders have expressed the expectation that this development will be at the expense of smaller providers in the market. Primarily, this will relate to the regionally active providers, who generally belong to the group of providers that achieve less than 1% of the nationwide share of total sales in cash services and not to medium-sized providers such as WSN, ITT, or SVG. Regional providers must cover longer distances compared to their limited area of activity.  </w:t>
        <w:br/>
        <w:t xml:space="preserve">(6) Interim Result  </w:t>
        <w:br/>
        <w:t xml:space="preserve">(151) Considering the overall market conditions mentioned, the assumption of a nationwide market for cash services is not justified.  </w:t>
        <w:br/>
        <w:t xml:space="preserve">c. Regional Markets for Cash Services  </w:t>
        <w:br/>
        <w:t xml:space="preserve">(152) The delineation of the individual regional markets examined in more detail is based on the analysis of the supply flows of the parties involved, the information from competitors regarding the regional orientation of their activities, as well as the analysis of the purchasing behavior of the surveyed large demanders, whose demand represents more than 30% of the market volume, as well as demanders with a low service volume in the major cities of Hamburg, Berlin, and Munich, as well as in the areas around the Brink's branches in Leipzig, Chemnitz, Erfurt, and Kassel, Frankfurt, Nuremberg.  </w:t>
        <w:br/>
        <w:t xml:space="preserve">(153) Upon inquiry, companies have stated that their sales are not evenly distributed within the specified radius, so a radius consideration does not provide a sufficiently reliable approach to assess the spatial extent of a provider's business area. An example of this is the company Kötter, which operates a branch in Bremen, whose area of activity would also include the greater Hamburg area based on the radius indication. Based on 2-digit postal code areas, the company has specified its information and stated that no cash services are provided in Hamburg, although a small order volume is processed through subcontractors.  </w:t>
        <w:br/>
        <w:t xml:space="preserve">(1) Consideration of Brink's business areas based on delivery radii for 95% of the nearest customers  </w:t>
        <w:br/>
        <w:t xml:space="preserve">(154) The Federal Cartel Office has based the spatial market delineation on the delivery areas of the branches of the target companies and has initially conducted a radius consideration to gain an impression of the areas of activity of the target companies.90 It has been shown that the areas of activity of the branches in Hamburg, Kassel, Frankfurt, Nuremberg, and Munich are each non-overlapping and therefore can be easily considered as a starting point for delineating regional markets. Only the business areas of the branches in Chemnitz and Weimar, formed according to circles, lie to a very large extent in the corresponding area of the branch in Sietzsch near Leipzig. There are also minor overlaps based on the considered circles between the branches in Berlin and Sietzsch/Leipzig as well as the branch in Hamburg and the driving base attributable to the branch in Kiel.  </w:t>
        <w:br/>
        <w:t>90 The presentation is based on the information provided by the target companies regarding the distances within which 95% of the customers of the corresponding branch are served.</w:t>
      </w:r>
    </w:p>
    <w:p>
      <w:r>
        <w:rPr>
          <w:b/>
        </w:rPr>
        <w:t>[Pages 61–63]</w:t>
      </w:r>
    </w:p>
    <w:p>
      <w:r>
        <w:t xml:space="preserve">61  </w:t>
        <w:br/>
        <w:t xml:space="preserve">(155) As a result of the analysis of the delivery flows of the individual branches, it has been shown that these exist only to a negligible extent between the branches in Sietzsch and Berlin. The same applies to Hamburg and the delivery base in Kiel, where Brink's generates only very low revenues that can be neglected in comparison to the total revenues of the Hamburg location.  </w:t>
        <w:br/>
        <w:t xml:space="preserve">[…]  </w:t>
        <w:br/>
        <w:t xml:space="preserve">Figure 15 - Representation of the business areas of Brink's branches based on delivery radii for 95% of the nearest customer locations  </w:t>
        <w:br/>
        <w:t xml:space="preserve">(156) As the parties correctly note with reference to the case law of the Federal Cartel Office in the area of asphalt mixtures, overlaps in the areas of activity can provide an initial indication for spatially further delineated markets. Contrary to the parties' assertions, however, it is the branches of the target company that are relevant in this context, not the consideration of all delivery radii to the branches of the acquirer and the target company. For customers in the acquirer's area of activity, the competitive conditions will change as a result of the merger due to the elimination of a sourcing alternative; therefore, these effects are at the forefront of the competitive assessment. This also corresponds to the approach of other decision-making departments in the cases referred to by the merging parties in their submission of May 10, 2013.  </w:t>
        <w:br/>
        <w:t xml:space="preserve">(2) Evaluation of the actual delivery relationships (Revenue consideration)  </w:t>
        <w:br/>
        <w:t xml:space="preserve">(157) Within the regions, the behavior of suppliers is shaped by the demands of the customers. In particular, customers from the banking sector, but also companies from the food retail sector, inquire about services for their entire branch network in the region.  </w:t>
        <w:br/>
        <w:t xml:space="preserve">(158) Inquiries with the companies have shown that their revenues are not evenly distributed within these radii, so that a radius consideration would not sufficiently reliably reflect the actual competitive relationships. The investigations have revealed that limiting factors are particularly the required stop density from an economic perspective and the limitation of working hours. Therefore, in a second step, the Federal Cartel Office determined the actual delivery relationships based on postal codes for market delineation.  </w:t>
        <w:br/>
        <w:t xml:space="preserve">(159) The Federal Cartel Office has – following the case law on the delineation of spatially relevant markets91 – specifically determined how the revenues of the merging parties and their competitors are spatially assigned to the respective branches. It has been shown that the focus of revenues is generated in a significantly smaller area than that described by the maximum delivery radius.  </w:t>
        <w:br/>
        <w:t xml:space="preserve">(160) To the extent that the parties argue that the radii for delineating the business areas should be at least 130-140 km and cite the average length of a cash transport route of approximately […] km as evidence, the delivery relationships of the individual Brink's branches in Berlin, Hamburg, and Munich show that, while there are indeed customers (based on road kilometer distances) located up to […] km from the branch location, such long distances are not characteristic of the market. Rather, the significant revenues are generated in a spatially more narrowly defined area. Based on the customer relationships in the example of Hamburg, it is evident that here a customer is served at just under […] km from the branch, but Brink's customer area is otherwise significantly smaller.  </w:t>
        <w:br/>
        <w:t xml:space="preserve">[…]  </w:t>
        <w:br/>
        <w:t xml:space="preserve">Figure 16 - Customer relationships Brink's branch Hamburg  </w:t>
        <w:br/>
        <w:t xml:space="preserve">(161) The Federal Cartel Office has delineated the spatially relevant regional markets based on the actual Brink's delivery relationships by forming a contiguous market area. The parties have provided the postal code-related revenues for the individual branches.92 From these delivery relationships, the areas in which customers actually utilize the services of the individual Brink's branches could be graphically represented. With the help of these representations, a contiguous market area was formed.  </w:t>
        <w:br/>
        <w:t xml:space="preserve">(162) The revenues of Prosegur generated within the area were allocated to the market determined based on Brink's delivery relationships. This was done regardless of which branch provided these services, so that the respective revenue shares of several Prosegur branches were taken into account if necessary. Following the same approach, all conceivable competitors with branches outside the Brink's areas were surveyed regarding their revenues within this area. These revenue shares were also allocated to the market volume. The revenues of competitors located within the 95% radius of Brink's were fully added to the market volume in favor of the parties, without deducting their revenues outside the Brink's market area.  </w:t>
        <w:br/>
        <w:t xml:space="preserve">(3) Sufficiently homogeneous competitive conditions in the delineated regional markets of Berlin, Hamburg, and Munich  </w:t>
        <w:br/>
        <w:t xml:space="preserve">(163) The market areas of Berlin, Hamburg, and Munich, which were examined in detail, as well as the other areas in which the merging parties operate, differ significantly in their supplier structure. They also differ significantly from the supplier structure in the neighboring markets. Within the delineated regional markets, sufficiently homogeneous competitive conditions exist.  </w:t>
        <w:br/>
        <w:t>(164) There are a number of competitors whose area of activity is limited by the fact that they operate only one branch or that their branches offer services only in certain regions. This includes in the Hamburg market SVG AG with its subsidiaries TSO Transecurity Wertetransport and Sicherheitsservice GmbH as well as MST Sicherheitstransportgesellschaft Mecklenburg mbH with branches distributed in parts to the locations of the ATMs they operate – regardless of the extent of the services actually provided. See Email from Attorney Dr. Slobodenjuk, Clifford Chance, dated April 25, 2013; p. 805 f. of the file.</w:t>
      </w:r>
    </w:p>
    <w:p>
      <w:r>
        <w:rPr>
          <w:b/>
        </w:rPr>
        <w:t>[Pages 64–66]</w:t>
      </w:r>
    </w:p>
    <w:p>
      <w:r>
        <w:t xml:space="preserve">64  </w:t>
        <w:br/>
        <w:t xml:space="preserve">Wittenförden and Bordesholm, whose business area exclusively covers the north of Germany.  </w:t>
        <w:br/>
        <w:t xml:space="preserve">(165) In Berlin, there are two medium-sized companies active, WSN, which operates in Berlin, Brandenburg, and Mecklenburg-Vorpommern, and Siba Security Services GmbH, Berlin, which are not active in any other affected markets. In particular, Siba offers these services only in Berlin and the surrounding area of Berlin.  </w:t>
        <w:br/>
        <w:t xml:space="preserve">(166) The company GÖTZ Geld- und Wertdienste GmbH &amp; Co. KG, Dresden, additionally operates branches in Regensburg and Chemnitz and is active to a limited extent in Berlin with the latter. It primarily offers its services in Saxony and in the Munich market.  </w:t>
        <w:br/>
        <w:t xml:space="preserve">Market Shares of the Merging Parties  </w:t>
        <w:br/>
        <w:t xml:space="preserve">(167) The merging parties are represented in the markets of Berlin, Hamburg, and Munich with different market shares. In particular, the market position of the parties also shows significant differences compared to other regional markets, such as the areas around Leipzig or Frankfurt, where the parties achieve significantly lower market shares both individually and jointly.  </w:t>
        <w:br/>
        <w:t xml:space="preserve">Price Level in the Three Market Areas  </w:t>
        <w:br/>
        <w:t xml:space="preserve">(168) […]  </w:t>
        <w:br/>
        <w:t xml:space="preserve">D. Competitive Assessment  </w:t>
        <w:br/>
        <w:t>(169) The merger project meets the prohibition requirements of § 36 Abs. 1 GWB in the notified form. It is expected that effective competition would be significantly impeded in the Berlin market due to the merger project leading to the establishment of a dominant market position of the merged company (cf. § 36 Abs. 1 S. 1 GWB, so-called SIEC test).</w:t>
      </w:r>
    </w:p>
    <w:p>
      <w:r>
        <w:t xml:space="preserve">65  </w:t>
        <w:br/>
        <w:t xml:space="preserve">(170) The establishment or strengthening of a dominant market position always constitutes a significant impediment to effective competition, as it is a typical example of the SIEC test. Similar to the standard cases in § 18 Abs. 4 and 6 GWB, the realization of the typical example automatically triggers the realization of the respective general clause. This also corresponds to the objective of the law, as clearly expressed in the justification of the government draft.93 The purpose of the norm points in the same direction: the SIEC test is to be adopted from the FKVO, while maintaining a high level of legal certainty by ensuring that the detailed case law of German courts regarding the interpretation of the dominance test remains decisive for the typical example.  </w:t>
        <w:br/>
        <w:t xml:space="preserve">(171) For the market areas of Hamburg and Munich, as well as the other regional market areas affected by the merger project, it is not expected that effective competition would be significantly impeded, neither by the establishment or strengthening of a dominant market position nor by other unilateral effects that significantly impede competition. It is also not expected that the emergence of collective dominance as a coordinated effect of the merger would occur in either of these two affected markets.  </w:t>
        <w:br/>
        <w:t xml:space="preserve">1. Emergence of a Dominant Position of Prosegur in the Berlin Market for Cash Services  </w:t>
        <w:br/>
        <w:t xml:space="preserve">a. Summary  </w:t>
        <w:br/>
        <w:t>(172) Considering the relevant factors, Prosegur would achieve a dominant position in the Berlin market in relation to its competitors, thereby fulfilling the typical example of § 36 Abs. 1 GWB.93 Justification of the government draft for the 8th amendment to the GWB dated May 31, 2012, BT-Drs. 17/9852, p. 28 “The addition of the prohibition criterion does not lead to legal uncertainty. The prohibition requirement of establishing or strengthening a dominant market position, which has been the sole criterion for review since the introduction of German merger control in 1973, continues to apply, as does the case law of the courts regarding the question of when a dominant position is strengthened by a merger. The establishment or strengthening of a dominant market position always constitutes a significant impediment to effective competition (dominance as a typical example).”</w:t>
      </w:r>
    </w:p>
    <w:p>
      <w:r>
        <w:t xml:space="preserve">66  </w:t>
        <w:br/>
        <w:t>Particularly significant are the absolute market share gained by Prosegur as a result of the merger and the market share lead over the next competitors in connection with the nature and structure of the other competitors in the market. Unlike in the regional markets of Hamburg and Munich, only medium-sized competitors operate in Berlin, some of which cover only a segment of the market (Siba) and, in any case, cannot compete with Prosegur's financial strength. Whether Ziemann continues to operate Unicorn's Berlin location as an "island location" after a merger with Unicorn is, however, not sufficiently secured. Significant new market entries are not expected due to existing market entry barriers. In particular, investment costs in infrastructure and personnel, as well as the acquisition of a sufficiently large customer base for a sustainably viable business model, complicate market entries. Furthermore, it is relevant to the competitive assessment that Prosegur belongs to an internationally active group with significant financial strength. This is likely to deter competitors from entering the market and provides Prosegur with improved access to customers compared to its competitors. Although it cannot be ruled out that, for reasons of risk diversification, customers of Prosegur may switch to competitors in individual cases, leading to a reduction in market share, it is questionable on which regional markets such effects would occur concerning regional customers. It is by no means certain that any reductions would actually occur in the Berlin market. Given the market structure in Berlin, without the secured presence of another regional provider of cash services, it is even more likely that such reductions—if they occur—will not take place in the Berlin market. It is more probable that such reduction effects will occur in market areas where customers have further regional providers to choose from, such as Kötter or Ziemann. The customer behavior, according to the results of the investigations, does not appear to be particularly price elastic. Rather, long-term customer relationships and established trust in the established service provider are characteristic of the demand behavior.</w:t>
      </w:r>
    </w:p>
    <w:p>
      <w:r>
        <w:rPr>
          <w:b/>
        </w:rPr>
        <w:t>[Pages 67–69]</w:t>
      </w:r>
    </w:p>
    <w:p>
      <w:r>
        <w:t xml:space="preserve">67  </w:t>
        <w:br/>
        <w:t xml:space="preserve">b. Market Area  </w:t>
        <w:br/>
        <w:t xml:space="preserve">[…]  </w:t>
        <w:br/>
        <w:t xml:space="preserve">Figure 17 - Supply Relationships Brink's Berlin  </w:t>
        <w:br/>
        <w:t xml:space="preserve">(173) The relevant geographical market Berlin can be described as the area of the city of Berlin with the postal code areas 10, 12, and 13, as well as the postal code area 14 to the west and 15 to the east. Individual areas of the postal code regions 16 in the north, 03 and 04 in the south, as well as 39 in the west also belong to the market area.94  </w:t>
        <w:br/>
        <w:t xml:space="preserve">[…]  </w:t>
        <w:br/>
        <w:t xml:space="preserve">Figure 18 - Market Berlin (Postal Code Areas)  </w:t>
        <w:br/>
        <w:t xml:space="preserve">(174) The relevant geographical market is not larger than the area described here, as the Brink's branch in Berlin generates only minor revenues in the adjacent areas outside this territory. Approximately […]% of the cash services provided by Brink's are utilized by customers within this market.  </w:t>
        <w:br/>
        <w:t xml:space="preserve">(175) The services offered by the Prosegur branch in Potsdam are utilized by […]% of customers within this market area.  </w:t>
        <w:br/>
        <w:t xml:space="preserve">(176) This geographical market definition is confirmed by the low import quota. The Federal Cartel Office has surveyed companies based outside the relevant market regarding their revenues in this area to calculate the import quota and verify the stability of the geographical market definition. Companies based outside the market area generate only about 4% of the market volume.  </w:t>
        <w:br/>
        <w:t xml:space="preserve">c. Market Share Consideration for the Market Berlin  </w:t>
        <w:br/>
        <w:t xml:space="preserve">(177) Market shares provide a suitable starting point for assessing market power and are therefore also a significant evaluation criterion, as they reflect the extent to which demand in the relevant market during the reference period was actually served by a company. They  </w:t>
        <w:br/>
        <w:t>94 The list of postal codes describing the market area was already sent to the parties involved in the merger by email on June 26, 2013, and was attached to the draft decision sent to the parties involved in the merger on June 28, 2013.</w:t>
      </w:r>
    </w:p>
    <w:p>
      <w:r>
        <w:t xml:space="preserve">68  </w:t>
        <w:br/>
        <w:t xml:space="preserve">therefore provide important indications of the extent of market power held by the companies involved in the merger. Typically, market shares are calculated based on the revenues of companies in the affected markets. Particularly in the case of heterogeneous products – as in the present case – revenue-based market shares better reflect the relative competitive position and significance of the providers than a volume-based consideration, as price and quality differences are taken into account.95 The parties have not proposed any other market indicators for calculating market shares, and the investigations have also not provided any indications that another reference figure would be appropriate. Therefore, revenues form the basis for assessing market conditions.  </w:t>
        <w:br/>
        <w:t xml:space="preserve">(1) Market Volume  </w:t>
        <w:br/>
        <w:t xml:space="preserve">(178) Based on the relevant market definition, the Federal Cartel Office has contacted all member companies of the BDGW as well as those cash service providers mentioned by the parties involved in the merger,96 as long as they had not already stated upon inquiry that they were not active in the provision of cash services. Also included in the investigations were the companies subsequently named by the parties involved in the merger on May 10, 2013.97  </w:t>
        <w:br/>
        <w:t xml:space="preserve">(179) The revenues and areas of activity of the surveyed companies were initially determined for each operated branch.98 For calculating the revenues in the Berlin market, the revenues of the parties involved in the merger in the corresponding postal code areas were included. To the extent that data was available, the revenues of competitors were also included in the market volume based on 5-digit postal codes. For some competitors, either the total revenues of the relevant branches were attributed to the market area or the revenues reported by the companies based on 2-digit postal codes were fully considered in the market volume, to the benefit of the parties involved in the merger.  </w:t>
        <w:br/>
        <w:t xml:space="preserve">(180) The revenues of the WSN Sicherheit und Service GmbH branch located in Berlin were fully added to the market volume. WSN has indicated that it does not generate revenues from its branch in Neubrandenburg in the Berlin market and in the adjacent postal code area 16 to the north of the market area. Therefore, postal code area 16 belongs to the catchment area of the Berlin branch. Even though this postal code area does not belong to the relevant market, the revenues of the WSN branch in Berlin were fully added to the market volume.  </w:t>
        <w:br/>
        <w:t xml:space="preserve">(181) The revenues of Siba security service GmbH, which operates a branch in Berlin as its only location, were fully included in the market volume regardless of the location of service provision.  </w:t>
        <w:br/>
        <w:t xml:space="preserve">(182) The revenues of Unicorn Geld- und Wertdienstleistungen GmbH were considered based on the 5-digit postal codes that form the market.  </w:t>
        <w:br/>
        <w:t xml:space="preserve">(183) The revenues of GWS Magdeburg and Götz were included in the market volume based on the information for the 2-digit postal code areas.  </w:t>
        <w:br/>
        <w:t xml:space="preserve">(184) The information provided by the company b.i.g. sicherheit gmbh, Halle, regarding the postal codes in which the total revenues of the company are generated, is all outside the relevant Berlin market. Nevertheless, the revenue of the operational support point in Wittenberg was included in the market volume, as it is located only a few kilometers outside the market area.99 The revenues of the branches of A.F.A.S. Security &amp; Service and DB Vertrieb GmbH, which belongs to Deutsche Bahn AG, located in Berlin were fully included in the market volume. Internal revenues of Deutsche Bahn AG were not considered in this context.  </w:t>
        <w:br/>
        <w:t>99 See email from Frank Ressen, Managing Director of b.i.g. sicherheit gmbh, dated May 7, 2013.</w:t>
      </w:r>
    </w:p>
    <w:p>
      <w:r>
        <w:rPr>
          <w:b/>
        </w:rPr>
        <w:t>[Pages 70–72]</w:t>
      </w:r>
    </w:p>
    <w:p>
      <w:r>
        <w:t xml:space="preserve">70  </w:t>
        <w:br/>
        <w:t xml:space="preserve">are regularly not attributed to the market volume.100  </w:t>
        <w:br/>
        <w:t xml:space="preserve">(185) Services provided by the Bundesbank for a fee were not included in the market volume. Although the merging parties have claimed that the Bundesbank provides services to a significant extent, they did not specify what these services consist of. Investigations have shown that the services of the Bundesbank are primarily provided in connection with funds delivered by cash service providers. In this respect, these partial services represent components that are included in the price charged to the customer. Furthermore, the Bundesbank provides and prices services that it offers directly to credit institutions or trading companies. However, these services cannot be attributed to the market volume, as they do not involve externally sourced services.  </w:t>
        <w:br/>
        <w:t xml:space="preserve">(186) Based on the investigations conducted, the market volume for the Berlin market amounts to more than €39 million based on the figures for the year 2012.  </w:t>
        <w:br/>
        <w:t xml:space="preserve">(2) Market Shares  </w:t>
        <w:br/>
        <w:t xml:space="preserve">(187) After the merger, the rebuttable presumption threshold for individual market dominance under § 18 Abs. 4 GWB of 40% would be significantly exceeded. Prosegur would achieve a market share of more than […]% after the merger. At the same time, the close oligopoly presumption of § 18 Abs. 6 Nr. 1 GWB is fulfilled.  </w:t>
        <w:br/>
        <w:t>100 Revenues between affiliated companies (internal revenues) are excluded from the calculation of revenues (§ 38 Abs. 1 S. 2 GWB). This also applies when calculating the revenues to be included in the substantive antitrust assessment. See OLG Düsseldorf, decision of September 4, 2002 – Kart 26/02 (V), Kart 26/02, VI-Kart 26/02 (V), para. 35, cited according to juris.</w:t>
      </w:r>
    </w:p>
    <w:p>
      <w:r>
        <w:t xml:space="preserve">71  </w:t>
        <w:br/>
        <w:t xml:space="preserve">Market Participants Revenue Market Share  </w:t>
        <w:br/>
        <w:t xml:space="preserve">Brink's […] [30-35]%  </w:t>
        <w:br/>
        <w:t xml:space="preserve">Prosegur […] [20-25]%  </w:t>
        <w:br/>
        <w:t xml:space="preserve">Merging Parties […] […]%  </w:t>
        <w:br/>
        <w:t xml:space="preserve">WSN Sicherheit und Service GmbH 20-25%  </w:t>
        <w:br/>
        <w:t xml:space="preserve">Siba 10-15%  </w:t>
        <w:br/>
        <w:t xml:space="preserve">Unicorn Geld- und Wertdienstleistungen GmbH 5-10%  </w:t>
        <w:br/>
        <w:t xml:space="preserve">GWS Magdeburg 1-5%  </w:t>
        <w:br/>
        <w:t xml:space="preserve">Götz Dresden 1-5%  </w:t>
        <w:br/>
        <w:t xml:space="preserve">b.i.g. sicherheit gmbh Objekt- und Personenschutz Halle &lt;1%  </w:t>
        <w:br/>
        <w:t xml:space="preserve">AFAS Geld- und Werttransporte &lt;1%  </w:t>
        <w:br/>
        <w:t xml:space="preserve">DB Services / Deutsche Bahn AG &lt;1%  </w:t>
        <w:br/>
        <w:t xml:space="preserve">Market Volume Berlin 39,171,952.96 100.00%  </w:t>
        <w:br/>
        <w:t xml:space="preserve">Table 1 - Competitive Situation in the Berlin Market  </w:t>
        <w:br/>
        <w:t xml:space="preserve">(188) The market share increase resulting from the merger is significant in Berlin. Brink's and Prosegur are already the strongest competitors in terms of revenue in the market before the merger. Brink's is, unlike in the spatially relevant markets in Hamburg and Munich, the market leader.  </w:t>
        <w:br/>
        <w:t>(189) The Berlin market is also surrounded to the north, south, and west by other market areas where the merging parties hold a similarly strong market position, even if there are not always market share additions. According to the Federal Cartel Office, it is not expected that the surrounding market areas will exert such strong competitive impulses that they could relativize the market position of the merging parties in Berlin.</w:t>
      </w:r>
    </w:p>
    <w:p>
      <w:r>
        <w:t xml:space="preserve">72  </w:t>
        <w:br/>
        <w:t xml:space="preserve">(3) Market Share Development  </w:t>
        <w:br/>
        <w:t xml:space="preserve">(190) The developments in market shares cannot be analyzed for the Berlin market – as well as for all other considered market areas – since revenues based on the 5-digit postal codes could only be submitted by the surveyed companies for the past fiscal year.  </w:t>
        <w:br/>
        <w:t xml:space="preserve">(191) The comparison of lost and gained customer contracts by Prosegur on a nationwide basis shows that Prosegur was able to grow organically in Germany overall in 2012, the year after the insolvency of Securlog and the takeover by Prosegur SA. The slight growth in the past year is particularly due to the significant revenue loss with customers who have ceased operations and have not switched to another provider. There are no indications for the Berlin market that would justify a different assessment.  </w:t>
        <w:br/>
        <w:t xml:space="preserve">Development of Revenue Volume Prosegur (Figures in million €)  </w:t>
        <w:br/>
        <w:t xml:space="preserve">Year 2012 2011 2010  </w:t>
        <w:br/>
        <w:t xml:space="preserve">Contract Terminations (Revenue in million €) […] […] […]  </w:t>
        <w:br/>
        <w:t xml:space="preserve">Of which: Contract termination due to business closure (Revenue in million €) […] […] […]  </w:t>
        <w:br/>
        <w:t xml:space="preserve">New Contracts (Revenue in million €) […] […] […]  </w:t>
        <w:br/>
        <w:t xml:space="preserve">Net Revenue Development (Revenue in million €) […] […] […]  </w:t>
        <w:br/>
        <w:t xml:space="preserve">Table 2 - Revenue Development Prosegur 2010-2012101  </w:t>
        <w:br/>
        <w:t>101 See Email from Attorney Dr. Gronemeyer, Clifford Chance, dated May 29, 2013, Annex (Responses Prosegur 29052013 New Customers Cancellations by Customer.xls), p. 1581 of the file.</w:t>
      </w:r>
    </w:p>
    <w:p>
      <w:r>
        <w:rPr>
          <w:b/>
        </w:rPr>
        <w:t>[Pages 73–75]</w:t>
      </w:r>
    </w:p>
    <w:p>
      <w:r>
        <w:t xml:space="preserve">73  </w:t>
        <w:br/>
        <w:t xml:space="preserve">(4) Market Share Gaps  </w:t>
        <w:br/>
        <w:t xml:space="preserve">(192) Due to the high market share increase of more than [30-35]%, Prosegur would have a significant market share lead over the next largest competitor in the market after the merger.  </w:t>
        <w:br/>
        <w:t xml:space="preserve">(193) Prosegur's market share lead after the merger would be more than 30 percentage points compared to the subsequent competitor WSN. The third strongest competitor in the market, Siba, only achieves a market share between 10% and 15%. Unicorn achieves a market share between 5% and 10%. The merging parties would be significantly larger than the following three competitors combined. Together, the three subsequent competitors achieve a market share of around 40%.  </w:t>
        <w:br/>
        <w:t xml:space="preserve">(194) After the merger, there would still be a maximum of nine competitors active in the Berlin market. However, of these nine providers, three companies achieve less than 1% market share, and two others - the providers Götz and GWS Magdeburg - only achieve market shares of significantly less than 5%. Furthermore, the latter two companies - each measured against their total revenues - only achieve a share of a maximum of 10% in the Berlin market, as the Berlin market is not part of their core business areas.  </w:t>
        <w:br/>
        <w:t xml:space="preserve">d. Market and Competitive Structures  </w:t>
        <w:br/>
        <w:t xml:space="preserve">(195) Essential competitive parameters in the cash services market are an efficient network and a specific customer structure.  </w:t>
        <w:br/>
        <w:t xml:space="preserve">(196) The merging parties have a number of structural advantages over their competitors that further secure their market position in Berlin. These include the network effects resulting from the nationwide branches and the special customer structure. Particularly significant is the high financial strength compared to most competitors, which can be used as access to sales markets and to deter actual or potential competitors. The barriers to market entry are also so high that this market position of the merging parties is not vulnerable.  </w:t>
        <w:br/>
        <w:t xml:space="preserve">(1) Customer Structures of the Merging Parties  </w:t>
        <w:br/>
        <w:t xml:space="preserve">(197) In the Berlin market, Prosegur currently has - unlike Brink's and other competitors - […]. The largest customer of the Potsdam branch accounts for around […]% of total revenue. The top 5 customers account for less than […]% of revenues. The top 10 customers together make up […]% of total revenue.102 About […] of the top 10 customer revenues are generated with customers from the banking sector. […] of the largest customers are attributable to retail.  </w:t>
        <w:br/>
        <w:t xml:space="preserve">(198) In contrast, Brink's has […]. The revenues with the main customer in Berlin account for around […] of total revenue in the cash services sector. With the top 5 customers, […]% of revenues are generated, and with the top 10 customers, significantly over […]% of revenues. Essentially, these are […] (more than […]% of total revenue). Moreover, these are customer contracts that Brink's […]. […] Overall, these […] contracts account for nearly […]% of the total revenue of the Brink's branch in Berlin. The revenues are primarily generated with […]103 Therefore, the contracts of the target companies would optimize the utilization of Prosegur's networks in Berlin and significantly and sustainably strengthen the economic basis of the business activity.  </w:t>
        <w:br/>
        <w:t xml:space="preserve">(2) Network Effects  </w:t>
        <w:br/>
        <w:t xml:space="preserve">102 See Email from Attorney Besen, Clifford Chance, dated 04.02.2013, confidential Annex 9.1. (Annex 9.1.pdf, p. 26) as well as confidential Annex 8.2.pdf.  </w:t>
        <w:br/>
        <w:t xml:space="preserve">103 See minutes of the meeting with […]. 04.06.2013, p. 1682 d.A.  </w:t>
        <w:br/>
        <w:t xml:space="preserve">(199) Prosegur would essentially take over customers […] from Brink's in Berlin, […]. […] "Key customers" are considered the economic basis for the offering of cash services in the market. Based on this, further customers can be acquired, which contribute to the utilization of the routes and thus to a economically successful market presence.104 The additional customers also complement Prosegur's existing customer structure from a network perspective and establish structural advantages of the merging parties over their competitors active in Berlin.  </w:t>
        <w:br/>
        <w:t xml:space="preserve">(200) Therefore, it will not be crucial for Prosegur's future market position that Brink's has focused more on […] in the past. […] No other competitor will have a comparable customer base in the market, which is the basis for the efficient utilization of the network.  </w:t>
        <w:br/>
        <w:t xml:space="preserve">(201) Unicorn is considered one of the large providers in the market based on nationwide revenues,105 but only achieves a market share between 5% and 10% in Berlin, thus lagging far behind the leading companies in the market even before the merger. Both nationwide and in Berlin, Unicorn maintains business relationships with both retail and banking customers. However, without the approval of the merger Ziemann/Unicorn (B4-44/13), it is unlikely that Unicorn will remain a competitor in the Berlin market.  </w:t>
        <w:br/>
        <w:t xml:space="preserve">(202) Even after approval and the execution of the merger with the joined party Ziemann, Unicorn's market position would not change due to the merger. Ziemann is not active in the Berlin market and adjacent areas in eastern Germany and would have to operate the branch as an "island location" outside its established business area.106 The operation of such locations is only economically viable in the long term with a sufficiently stable customer structure, according to the results of the investigations. In the past,  </w:t>
        <w:br/>
        <w:t xml:space="preserve">104 See statement from […], Brink's, at the meeting on 21.06.2013 at the Federal Cartel Office, p. 2480ff. d.A.  </w:t>
        <w:br/>
        <w:t xml:space="preserve">105 Unicorn accounts for more than 10% of the revenues generated with cash services in Germany.  </w:t>
        <w:br/>
        <w:t>106 The Berlin branch does not currently form part of a comprehensive business area for Unicorn, but lies outside the otherwise contiguous network in which services are offered since the area exchange with Brink's.</w:t>
      </w:r>
    </w:p>
    <w:p>
      <w:r>
        <w:rPr>
          <w:b/>
        </w:rPr>
        <w:t>[Pages 76–78]</w:t>
      </w:r>
    </w:p>
    <w:p>
      <w:r>
        <w:t xml:space="preserve">76  </w:t>
        <w:br/>
        <w:t xml:space="preserve">competitors have therefore abandoned such locations or replaced them with other locations in exchange with competitors that complement their own sales area. Ziemann currently operates the Lübeck branch as an island location. However, the merger with Unicorn would end this situation for the Hamburg area. This does not apply to the Berlin market area. Therefore, from the perspective of the decision-making department, it cannot be expected with sufficient certainty that Ziemann will maintain Unicorn's Berlin location in the future. Unicorn has also not succeeded in expanding its presence in the Berlin market beyond its current – comparatively insignificant – position in recent years.  </w:t>
        <w:br/>
        <w:t xml:space="preserve">(203) It is not expected that medium-sized companies, through price competition, will be able to challenge the market position of Prosegur and Brink's after the merger or withstand the financial power of a multinational company in the long term.  </w:t>
        <w:br/>
        <w:t xml:space="preserve">(204) The competitors active in the market, WSN, Götz, and GWS Magdeburg, belong to the group of medium-sized companies with a share of nationwide revenues in the cash services sector of more than 1%, but each operates in regionally defined business areas.  </w:t>
        <w:br/>
        <w:t xml:space="preserve">(205) The business area of the three branches operated by WSN predominantly covers the federal states of Berlin, Brandenburg, and Mecklenburg-Vorpommern. WSN is a privately owned company that generates a significant portion of its revenues from larger customers. In addition, WSN currently performs subcontracting work for Brink's in Berlin and other market areas. These will cease after the merger is completed, as Prosegur – unlike Brink's – is established nationwide and neither provides subcontractor services nor requests them. Even though these subcontracting orders do not have a high order volume for the Berlin market [1-5% of WSN's total revenue], their elimination weakens WSN's overall market position and thus also in Berlin. Investigations have shown that in the past, medium-sized companies have had to completely cease their regional activities in the Berlin market due to the loss of a key customer. This demonstrates the dependence of medium-sized companies without corresponding financial strength on their top customers and the advantage of a broad customer structure, as the merging parties would have after the merger.  </w:t>
        <w:br/>
        <w:t xml:space="preserve">(206) WSN is a member of Cash Logistik and provides services within its business area for customers acquired by Cash Logistik. As the parties themselves state, it can be assumed that the medium-sized companies cooperating in Cash Logistik have divided the federal territory according to their fields of activity.107 To the extent that the Cash Logistik partners demarcate their business areas as a result of the cooperation, this also explains why, for example, the companies GWS Magdeburg and Götz, which are also active in Cash Logistik, generate only low revenues in the Berlin market. In the future, due to the cooperation in Cash Logistik, no significant competitive pressure is expected from these medium-sized companies.  </w:t>
        <w:br/>
        <w:t xml:space="preserve">Figure 19 - Representation of the Area Division of Cash Logistik108  </w:t>
        <w:br/>
        <w:t xml:space="preserve">107 Cf. Email from Attorney Besen, Clifford Chance, dated March 4, 2013, confidential Annex 10.3, "10.3 Competition: Area Division of Cash-Logistik Security AG," p. 351 of the administrative file.  </w:t>
        <w:br/>
        <w:t>108 Cf. Email from Attorney Besen, Clifford Chance, dated March 4, 2013, Annex 10.3, p. 351 of the administrative file.</w:t>
      </w:r>
    </w:p>
    <w:p>
      <w:r>
        <w:t xml:space="preserve">78  </w:t>
        <w:br/>
        <w:t xml:space="preserve">(207) Cash Logistik itself would also not be able to control the position of Prosegur as a nationwide provider of cash services in the future. The company relies on medium-sized contractual partners for service provision. The competitive potential of the company is already taken into account in the competitive assessment through the inclusion of medium-sized service providers and their market position (in the case of Berlin: WSN, Götz, GWS Magdeburg).  </w:t>
        <w:br/>
        <w:t xml:space="preserve">(208) The same applies to the Commerzbank subsidiary STS, which also relies on the service provision by the companies active in the market for the provision of services to contractual partners.  </w:t>
        <w:br/>
        <w:t xml:space="preserve">(209) Siba security service GmbH,109 which is the third strongest competitor in the Berlin market based on revenue, exerts only limited competitive pressure on the leading companies in the market as a niche provider even before the merger. The market shares attributed to Siba therefore overstate the significance of this competitor – in relation to the entire area of cash services.110 This is particularly true because the company primarily operates in the area of coin supply for a few customers.111 The company does not offer cash services in connection with the management of ATMs112 and is therefore not considered a suitable alternative service provider for the entire banking sector. Siba is not a member of the BDGW, which, as investigations have shown, is often a prerequisite for being commissioned with cash services.113  </w:t>
        <w:br/>
        <w:t xml:space="preserve">109 The list of competitors in the cash services sector sent by the merging parties on March 11, 2013, did not include Siba, as known from market observations. Cf. Email from Attorney Besen, Clifford Chance, dated March 11, 2013, including the annex: Pearl - Provider of Cash Services (non-BDGW members) 113177-3-210 v0.2.xlsx, p. 580 of the administrative file.  </w:t>
        <w:br/>
        <w:t xml:space="preserve">110 For example, Siba does not provide services in the area of ATM management and is therefore not a suitable alternative service provider for the entire banking sector.  </w:t>
        <w:br/>
        <w:t xml:space="preserve">111 Cf. non-confidential response from Siba to question 6 of the information decision dated March 15, 2013.  </w:t>
        <w:br/>
        <w:t xml:space="preserve">112 Cf. non-confidential response from Siba to question 1a of the information decision dated March 15, 2013.  </w:t>
        <w:br/>
        <w:t>113 Cf. for example, the response of Douglas Holding AG to question 9.1 of the information decision dated May 28, 2013.</w:t>
      </w:r>
    </w:p>
    <w:p>
      <w:r>
        <w:rPr>
          <w:b/>
        </w:rPr>
        <w:t>[Pages 79–81]</w:t>
      </w:r>
    </w:p>
    <w:p>
      <w:r>
        <w:t xml:space="preserve">79  </w:t>
        <w:br/>
        <w:t xml:space="preserve">e. Financial Resources Secure Prosegur's Market Position  </w:t>
        <w:br/>
        <w:t xml:space="preserve">(210) The market power of a company can also be determined by its financial strength. The wording of § 18 Abs. 3 Nr. 2 GWB explicitly refers to this factor as a criterion for determining whether a dominant market position is created or strengthened. Financial strength can be competitively significant from several aspects: it can particularly lead to better access to sales markets and can act as a market entry barrier – in the sense of a deterrent potential. Investigations in the cash services market have shown that both effects can be observed. On the one hand, Prosegur's own financial strength provides it with better access to sales markets. On the other hand, financial strength is capable of exerting a deterrent effect on potential competitors regarding market entry.  </w:t>
        <w:br/>
        <w:t xml:space="preserve">(211) Prosegur has outstanding financial strength compared to the remaining competitors in the market, which is capable of deterring companies from entering the market. Due to its existing financial strength, Prosegur would be able at any time to respond to price initiatives from its competitors or price-aggressive market entries.  </w:t>
        <w:br/>
        <w:t xml:space="preserve">(212) Prosegur is already stronger than any other company operating in the cash services market when measured by its revenues in Germany. With its nationwide network of branches and a share of the total nationwide revenues in the cash services sector, Prosegur is more than twice as revenue-strong as each of the following three companies: Ziemann, Unicorn, and Kötter.  </w:t>
        <w:br/>
        <w:t xml:space="preserve">(213) Prosegur is part of the Prosegur SA group, the third-largest security company in the world with more than 150,000 employees and operations in 15 countries in Central and South America, Europe, and Asia. Prosegur SA achieved worldwide revenues of more than €3.6 billion in 2012. In the fiscal year 2011, worldwide revenue increased by nearly 10%, and in the fiscal year 2012, Prosegur was even able to increase revenue by more than 30%, which was achieved through both organic growth and the implementation of an acquisition strategy.114 For the first quarter of 2013, Prosegur SA reported renewed revenue growth of 9.6%.115 The company's annual profit was also increased by 2.7% last year, amounting to more than €170 million. For external growth through the acquisition of 20 competitors, the company invested more than €570 million in the past two years.116  </w:t>
        <w:br/>
        <w:t xml:space="preserve">(214) As the only company in the security industry, Prosegur SA has a Standard &amp; Poor's rating due to regional diversification and the quality of its customer base, as well as the financial stability of the company and other factors, which contributed to Prosegur being able to place a 5-year bond of €500 million on the capital market in spring 2013 at an interest rate of 2.75%.117 […] That Prosegur SA also uses its financial strength to benefit its German subsidiary Prosegur is exemplified by the submitted annual financial statement for 2011, according to which Prosegur SA guarantees financial resources […]118  </w:t>
        <w:br/>
        <w:t xml:space="preserve">(215) For Prosegur, this means that a growth strategy in Germany through corporate acquisitions is possible even at the expense of medium-term losses until the market consolidation expected and pursued by Prosegur occurs and the current price level rises or the consolidation ends or significantly weakens the current price competition.119  </w:t>
        <w:br/>
        <w:t xml:space="preserve">(216) That Prosegur is willing and able to use its financial strength to acquire new customers is evidenced by current offers to new customers. […]  </w:t>
        <w:br/>
        <w:t xml:space="preserve">(217) No other company operating in the Berlin market has a comparable financial background. Among the two strongest competitors in the Berlin cash services market, one is WSN, a family-owned medium-sized company. WSN does not have comparable access to the capital market and cannot (unlike Prosegur) compensate for economic downturns through the use of additional capital due to its corporate connection.  </w:t>
        <w:br/>
        <w:t xml:space="preserve">(218) WSN's ability to compete with Prosegur in price competition is limited. The economic activity is based on a strong concentration of revenue on the top 10 customers, which includes Brink's. By acting as a subcontractor for Brink's120, the merger itself would lead to an economic weakening of the company even without additional price competition from Prosegur.  </w:t>
        <w:br/>
        <w:t xml:space="preserve">(219) The same concerns regarding the ability to compete against Prosegur in price competition apply to Siba, which also operates in the Berlin market. Siba operates a cash center exclusively in Berlin and offers cash services on a reduced scale (e.g., without ATM services). Siba is part of a corporate group that otherwise only offers security services without cash transports. Even with this integration, Siba does not have nearly as much financial strength as Prosegur.  </w:t>
        <w:br/>
        <w:t xml:space="preserve">(220) For Unicorn, which is currently active in large parts of Germany, the question of future orientation – should an acquisition by Ziemann occur – is still open. Although Ziemann has greater financial strength due to its affiliation with the Hannover Finanz Group than the medium-sized companies operating in the Berlin area, the parent company is currently also using this for an expansion strategy, as shown by the notified merger with Unicorn, which would elevate Ziemann to a provider with nearly nationwide presence. However, the competitively relevant financial strength is significantly lower compared to that of Prosegur. The Bundeskartellamt considers it at least doubtful that the Hannover Finanz Group, as a financial investor, would be willing to finance internal growth in the same way on a permanent basis or to offset a corresponding pricing strategy from Prosegur through financial contributions to Ziemann. Thus, a  </w:t>
        <w:br/>
        <w:t>120 See Email from Attorney Hoelzel, Dentons, dated March 4, 2013, Annex: Annex 2 Cartel Office_Question 8_Brinks.v3.130227.XLSX, p. 151 d.A.</w:t>
      </w:r>
    </w:p>
    <w:p>
      <w:r>
        <w:rPr>
          <w:b/>
        </w:rPr>
        <w:t>[Pages 82–84]</w:t>
      </w:r>
    </w:p>
    <w:p>
      <w:r>
        <w:t xml:space="preserve">82  </w:t>
        <w:br/>
        <w:t xml:space="preserve">A financial investor is typically more interested in short-term returns and makes strategic decisions more with regard to the possibility of a later sale of its stake than with regard to a long-term commitment in the relevant business field. This is certainly true for the market area of Berlin. Whether Ziemann, which is not active in Berlin itself, would be able to successfully enter into price competition with Prosegur there, or would consider this worthwhile after the implementation of the corresponding merger project in light of Unicorn's weak position as the fourth strongest competitor, is at least uncertain. The Federal Cartel Office has significant doubts here, particularly due to the low market shares that Unicorn potentially has to defend.  </w:t>
        <w:br/>
        <w:t xml:space="preserve">(221) The remaining competitors in the Berlin market either also do not have comparable financial strength or it is not expected that they will deploy it in the same way as Prosegur. Even for Deutsche Bahn, which, after insourcing cash services, is also active to a limited extent for external customers, this business area does not represent a core business field. Therefore, it is not expected that they will use their financial strength to challenge Prosegur's dominant market position.  </w:t>
        <w:br/>
        <w:t xml:space="preserve">f. Barriers to Market Entry/Potential Competition  </w:t>
        <w:br/>
        <w:t xml:space="preserve">(222) The examination of barriers to market entry and potential competition holds a high significance in the assessment under merger control law. Just as market share provides indications of the relationship of the merging parties to their current competitors, barriers to market entry provide information about the significance of potential competition in the affected market.  </w:t>
        <w:br/>
        <w:t xml:space="preserve">(223) The market for cash services is characterized by structural barriers to market entry that hinder the entry of potential competitors. For potential competitors, the establishment of a customer network with the required density of stops represents a significant structural barrier to market entry. Additionally, competition from providers based abroad is currently practically impossible due to EU legal requirements regarding the security standards imposed on cross-border cash transport.  </w:t>
        <w:br/>
        <w:t xml:space="preserve">(224) After the merger, new competitors entering the market would not be expected to an extent that would counteract the emergence of a dominant market position. Rather, barriers to market entry exist due to the investment costs in necessary infrastructure such as cash centers and vehicles, as well as in the establishment of a customer network and the low willingness of customers to switch, which would further solidify Prosegur's position after the merger is implemented.  </w:t>
        <w:br/>
        <w:t xml:space="preserve">(225) Even if, as the parties state, there are no regulatory or technical requirements for market entry, there are still such high strategic barriers to market entry for access to the Berlin market that, within the forecast period, no market entries are to be expected that could form a competitive counterweight to Prosegur's market position.  </w:t>
        <w:br/>
        <w:t xml:space="preserve">(226) Overall, in Germany, there have not been any significant new entries into the market for cash services in recent years. A cross-border competitor that entered the market has, as described above, ceased its activities due to European legal regulations for cross-border cash transport. Among the competitors named by the parties that have newly entered the market, to the extent that these companies actually offer cash services or are not identical to the parties involved, they are regional companies in the banking sector that typically generate only a small amount of revenue with other companies than their parent companies. For the Berlin market, the parties have not presented any market entries.  </w:t>
        <w:br/>
        <w:t xml:space="preserve">(227) As the parties argue, there are comparatively many companies operating in Germany compared to European and North American countries. Therefore, Prosegur sees the need for market consolidation, also to counteract the prevailing price competition. This development currently does not favor the entry of new competitors into the Berlin market. Even with rising prices, it would not be expected that competitors would enter the market due to Prosegur's behavioral options (use of financial strength to deter new competitors). The assessment that there will be a consolidation of the market rather than market entries in the coming years is also shared by customers.  </w:t>
        <w:br/>
        <w:t>(228) To enter the Berlin market long-term and successfully, companies would first need to be willing to invest in cash centers and vehicle fleets to have the necessary infrastructure for service provision. The parties mention investment costs of up to […]€ for the establishment of a cash center and acquisition costs for new vehicles amounting to […]€ each or a derived monthly leasing rate. Companies that would only establish vehicle bases would not be able to achieve market shares within the forecast period that would seriously challenge Prosegur's market position. Vehicle bases would at best be considered a first step in market entry, as they would be associated with significantly higher transport costs to the location of cash processing and deposit at the Bundesbank. Therefore, market entries with significant investments are only to be expected if the new entrant could initially have a corresponding customer base with a high density of locations to be served. This would only be possible through the acquisition of one or more "anchor customers."</w:t>
      </w:r>
    </w:p>
    <w:p>
      <w:r>
        <w:rPr>
          <w:b/>
        </w:rPr>
        <w:t>[Pages 85–87]</w:t>
      </w:r>
    </w:p>
    <w:p>
      <w:r>
        <w:t xml:space="preserve">85  </w:t>
        <w:br/>
        <w:t xml:space="preserve">to achieve the corresponding basic utilization in the short term. Without such utilization, the incentives to make investments to the required extent are so low that further market entries are not to be expected in the near future.  </w:t>
        <w:br/>
        <w:t xml:space="preserve">(229) Even if customers were willing to enter the market due to price increases by Prosegur, the financial strength of Prosegur, to which they would subsequently be exposed in order to consolidate and expand their market position, represents another hurdle that also speaks against the entry of new competitors into the market. This leads to competitors, who would have to incur high initial investments for market entry, being deterred because they will always consider the loss of these initial investments (sunk costs).  </w:t>
        <w:br/>
        <w:t xml:space="preserve">g. The market position of Prosegur is not challenged by buyer power or strategic demand  </w:t>
        <w:br/>
        <w:t xml:space="preserve">(230) The emergence of a dominant market position for Prosegur as a result of the merger is not countered by strategically exercised buyer power from the purchasers, which would sufficiently limit the behavioral leeway resulting from the merger.  </w:t>
        <w:br/>
        <w:t xml:space="preserve">(1) Statements of the merging parties  </w:t>
        <w:br/>
        <w:t xml:space="preserve">(231) The parties have stated that the market for cash services has already been characterized by intense competition, which can be derived from a number of market characteristics. They assert that […]% of all contracts are awarded within the framework of formal or informal tenders. Cash service providers are therefore exposed to strong buyer power, which particularly results from short contract durations as well as short notice periods. Special termination options (e.g., change-of-control clauses (in the event of a change in the shareholders of a service provider)) are also mentioned in this context. They further assert that due to the low switching costs, there is no high degree of customer loyalty.  </w:t>
        <w:br/>
        <w:t xml:space="preserve">86  </w:t>
        <w:br/>
        <w:t xml:space="preserve">(232) Prosegur is also of the opinion that even after the merger is completed, the merging parties are exposed to intense competitive pressure, particularly from WSN and Unicorn (or Ziemann after the acquisition of Unicorn). Prosegur believes this view is confirmed by the responses from buyers that the Federal Cartel Office interviewed during the investigations128 and points out in this context that the cited buyers do not see WSN as a "second-class provider" in the Berlin market and overall believe that even after the merger, a sufficient number of providers are available there.  </w:t>
        <w:br/>
        <w:t xml:space="preserve">(2) Results of the investigations  </w:t>
        <w:br/>
        <w:t xml:space="preserve">(233) The statements of the merging parties have not been confirmed in essential points by the investigations of the decision-making department. It is true that short contract durations and termination options allow for the exercise of buyer power even if contracts are ultimately extended or not terminated. However, a credible threat to transfer the contract to another cash service provider is a prerequisite for the existence of strategically deployable buyer power. However, after the merger, buyers in the Berlin market no longer possess such credible threat potential. This also applies in effect to regionally significant buyers.  </w:t>
        <w:br/>
        <w:t xml:space="preserve">(aa) Previous purchasing behavior  </w:t>
        <w:br/>
        <w:t xml:space="preserve">(234) Even nationwide buyers from the grocery retail sector, who also demand cash services in the Berlin market, or nationally or regionally significant buyers from the banking sector show only limited strategic purchasing behavior so far.  </w:t>
        <w:br/>
        <w:t xml:space="preserve">(235) This results particularly from the fact that risk strategies are not formulated as standard and are not practiced. The requirements for conducting formalized tender processes at regular intervals are also not observed. Rather, buyers tend to seek longer contract durations when they have good experiences with the commissioned cash service provider. To maintain the economic solidity of the providers (creditworthiness), which is a criterion for commissioning in the credit analysis, many buyers are even willing to negotiate price adjustments with the service providers at regular intervals. The commissioning is also dependent on experiences with the respective cash service provider, so that even in cases where larger order volumes are executed by a single service provider, a reduction in commissioning – also due to the associated effort129 - is only considered in the event of poor performance.130 Both buyers and providers of cash services have expressed that a high reliability of the service provider is of extraordinary importance in the area of cash and valuables services and that a switch is associated with high effort. Therefore, changes of service providers through tenders usually only occur when there are problems in cooperation with the cash service provider.131 Nationwide buyers indicated, for example, that they have concluded ongoing contracts "until further notice."132  </w:t>
        <w:br/>
        <w:t xml:space="preserve">(236) A significant number of the surveyed trading companies and banks refrain from formulating and applying risk strategies for various reasons133, which puts them in a position where they do not engage in strategic purchasing behavior.134  </w:t>
        <w:br/>
        <w:t xml:space="preserve">129 The name of the responding company is not disclosed here and in the following as a business secret and is designated with "#". #25: Question 9.1 regarding the information decision dated May 28, 2013, p. 2392 d.A.  </w:t>
        <w:br/>
        <w:t xml:space="preserve">130 #26: Question 11.1 regarding the information decision dated May 28, 2013, p. 2471 d.A.  </w:t>
        <w:br/>
        <w:t xml:space="preserve">131 #25: Question 9.1 regarding the information decision dated May 28, 2013, p. 2392 d.A.  </w:t>
        <w:br/>
        <w:t xml:space="preserve">132 #22: Question 9.1 regarding the information decision dated May 28, 2013, p. 2392 d.A.; #20, Question 9.4 regarding the information decision dated May 28, 2013, p. 2407 d.A.; #13. #15, #17, Question 9.4 regarding the information decision dated May 28, 2013, p. 2406 d.A.  </w:t>
        <w:br/>
        <w:t xml:space="preserve">133 For example, the reduction of the effort for the security check was indicated [business secret #17: Question 10.4 regarding the information decision dated May 28, 2013, p. 2463 d.A.] or because, from the perspective of the requesting banks, cash services do not constitute a significant outsourcing [business secret #13: Question 10.4 regarding the information decision dated May 28, 2013, p. 2462 d.A.].  </w:t>
        <w:br/>
        <w:t>134 #13: Question 10.1 regarding the information decision dated May 28, 2013, p. 2445 d.A.; #2 or #27: Questions 10.4 and 10.5 regarding the information decision dated May 28, 2013, p. 2461 or 2468 d.A.; #23: Question 10.4 regarding the information decision dated May 28, 2013, p. 2464 d.A.; #25: Question 10.4 regarding the information decision dated May 28, 2013, p. 2464 d.A.; #6: Question 10.4 regarding the information decision dated May 28, 2013, p. 2461 d.A.; #29: Question 10.5 regarding the information decision dated May 28, 2013, p. 2468 d.A.</w:t>
      </w:r>
    </w:p>
    <w:p>
      <w:r>
        <w:rPr>
          <w:b/>
        </w:rPr>
        <w:t>[Pages 88–90]</w:t>
      </w:r>
    </w:p>
    <w:p>
      <w:r>
        <w:t xml:space="preserve">88  </w:t>
        <w:br/>
        <w:t xml:space="preserve">in individual cases also document the commissioning of a single service provider for the entire demand.135  </w:t>
        <w:br/>
        <w:t xml:space="preserve">(237) Among the surveyed larger demanders, it was not uniformly observed that they regularly and in a formalized manner conduct tenders and thereby express and implement their purchasing power.136 A symptomatic representation is that of two demanders who stated that regular tenders are not planned; rather, they periodically request price inquiries from alternative service providers.137 A regionally active demander of cash services stated that in the past seven fiscal years, they had not obtained any alternative offers.138 It was often observed in the investigation results that despite tenders or inquiries in other forms, contractual relationships were continued over several periods. Companies that indicated they conduct nationwide tenders among the relevant companies every 2 years have continued their cooperation with the predecessor companies of Prosegur for over eight years, through several insolvencies, up to the present day.139 This also applies to demanders who conduct contract negotiations in a fixed rhythm and actively approach cash service providers.140  </w:t>
        <w:br/>
        <w:t xml:space="preserve">(238) For the demanders, this is not the demand for services that affect their core business. Therefore, according to the results of the investigations, short-term price advantages and the associated effort are assessed differently than would be the case in the core business (e.g., procurement of food in the retail sector). Many demanders consider the securing of their service provider's economic situation and are willing to negotiate price increases in connection with cost increases. Companies have stated in response to the question of how often negotiations on existing contracts are initiated by the respective cash service provider that such negotiations are conducted at regular intervals when new tariff agreements141 and/or increased fuel costs142 make this necessary or when a cash service provider makes contact in this regard.143 Some who do not conduct such negotiations have justified this with regular tenders and fixed contract durations144 or indicated that they only do so when these negotiations are related to contract adjustments145. It was also expressed that price adjustment clauses are already included in existing contracts.146  </w:t>
        <w:br/>
        <w:t xml:space="preserve">(bb) Future Demand Behavior  </w:t>
        <w:br/>
        <w:t xml:space="preserve">(239) Demanders have already expressed for the present that they see problems in applying risk strategies, as concentration tendencies have made the distribution of contract awards to multiple service providers more difficult in the past, and particularly in metropolitan areas, adequate service providers are not available.147  </w:t>
        <w:br/>
        <w:t xml:space="preserve">(240) In the Berlin market area, demanders cannot credibly assert bargaining power—even if they wanted to do so purposefully. After the implementation of the merger project, they did not have sufficient alternatives in the Berlin market area during the forecast period. It is true that some demanders have indicated that they still have sufficient alternatives even after the implementation of the merger project. However, these demanders have named companies as alternatives to the merging parties that are currently not represented in the Berlin market with their own infrastructure and are therefore either not active there at all (Ziemann) or only operate through subcontractors and to a very limited extent (Kötter). The continued presence of Unicorn in the Berlin market is uncertain, with or without the merger with Ziemann. In this regard, demanders have stated that Unicorn would only be considered as a sourcing alternative through the merger with Ziemann.148  </w:t>
        <w:br/>
        <w:t xml:space="preserve">(241) The companies surveyed by the Bundeskartellamt are large demanders who together award more than 30% of the nationwide contract volume. It is not expected that the demand behavior of smaller regional or local demanders would be different. Rather, smaller demanders are standard customers of the providers, price takers without special bargaining power, and are therefore regularly unable to influence the offering behavior of Prosegur. While there may also be demanders at the regional or local level who possess some purchasing power, they would not have sufficient alternatives available to actually deploy their purchasing power strategically if they were to demand cash services for a branch network of a certain size, which would grant them the corresponding purchasing power. This assessment has accordingly been expressed by demanders of cash services during the investigation.  </w:t>
        <w:br/>
        <w:t xml:space="preserve">(3) No Limitation of Market Position through Insourcing  </w:t>
        <w:br/>
        <w:t xml:space="preserve">(242) In Berlin, the behavioral scope of the merging parties is not sufficiently restricted by the possibilities of demanders to no longer demand cash services in the market but to provide them themselves (insourcing).149 The merging parties assert that there have been several such examples in the past. They cite, for example, HLS Hamburger Logistik Service GmbH, a subsidiary of Hamburger Sparkasse, and WerteLogistik Nord GmbH, which for their  </w:t>
        <w:br/>
        <w:t xml:space="preserve">148 See response of S-Servicepartner to question 12.1 of the information decision dated May 28, 2013.  </w:t>
        <w:br/>
        <w:t>149 See statement of the merging parties on the draft decision dated June 28, 2013, letter from Clifford Chance dated July 8, 2013, p. 3235ff d.A. here p. 3242.</w:t>
      </w:r>
    </w:p>
    <w:p>
      <w:r>
        <w:rPr>
          <w:b/>
        </w:rPr>
        <w:t>[Pages 91–93]</w:t>
      </w:r>
    </w:p>
    <w:p>
      <w:r>
        <w:t xml:space="preserve">91  </w:t>
        <w:br/>
        <w:t xml:space="preserve">shareholders150 providing cash services and value logistics, or Deutsche Bahn AG.151  </w:t>
        <w:br/>
        <w:t xml:space="preserve">(243) The threat of switching from external procurement to in-house provision of cash services limits the behavioral leeway of all providers operating in the cash services market to a certain extent. However, the decision to insource is associated with extensive organizational and economic questions for the demander.  </w:t>
        <w:br/>
        <w:t xml:space="preserve">(244) Companies must be prepared to make investments in infrastructure (cash centers for cash processing, possibly with locks for the acceptance of cash transports) as well as to select and hire suitable employees before they can provide cash services in-house. The provision of services with armed personnel also requires compliance with firearms regulations in this context.  </w:t>
        <w:br/>
        <w:t xml:space="preserve">(245) Since cash services do not belong to the core business areas of the demanders, the threat of insourcing only becomes credible and exerts behavioral control over cash service providers when they exploit their behavioral leeway to such an extent that even the acceptance of greater organizational and financial hurdles for the demanders would represent a reasonable option.  </w:t>
        <w:br/>
        <w:t xml:space="preserve">(246) In practice, the alternative is only available to banks that already operate particularly secure properties due to their activities and have the ability to maintain accounts with the Bundesbank, through which they can independently utilize its services that are essential for the cash cycle.  </w:t>
        <w:br/>
        <w:t xml:space="preserve">150 Sparkasse Hannover, Hanover (66% of the shares) and Hannoversche Volksbank eG, Hanover (34% of the shares); see https://www.unternehmensregister.de, annual financial statement of WerteLogistik Nord GmbH as of December 31, 2012, status July 14, 2013.  </w:t>
        <w:br/>
        <w:t>151 From the fact that, for example, Landesbank Berlin does not award contracts for cash services itself, but through a 100% subsidiary, it cannot be concluded that these companies have already taken a first step towards in-house provision of cash services. This is merely the outsourcing of the contractual design, which does not allow any conclusions about a willingness to integrate cash services within Landesbank Berlin. Investigations have not provided any indications in this regard. See statement of the merging parties on the draft decision dated June 28, 2013, letter from Clifford Chance dated July 8, 2013, p. 8, Bl. 3235ff d.A. here Bl. 3242.</w:t>
      </w:r>
    </w:p>
    <w:p>
      <w:r>
        <w:t xml:space="preserve">92  </w:t>
        <w:br/>
        <w:t xml:space="preserve">h. The report submitted by the parties does not call into question the result of the competitive assessment  </w:t>
        <w:br/>
        <w:t xml:space="preserve">(247) As a result of the merging of the customer structures of Prosegur and Brink's, the merger will lead to an enhancement of Prosegur's competitive position in the Berlin market to an extent that none of the competitors in the market will be able to challenge in the future. The central question in the competition economic report submitted by the parties, whether Prosegur and Brink's were particularly close competitors before the merger or what significance it has for competition that Brink's has fewer commercial customers under contract in Berlin, is not of decisive importance. […]  </w:t>
        <w:br/>
        <w:t xml:space="preserve">(248) Prosegur would essentially take over customers […] from Brink's in Berlin. […] “Anchor customers” are considered the economic basis for the offering of cash services in the market. Based on this, further customers can be acquired, which contribute to the utilization of the routes and thus to a successful market presence.152  </w:t>
        <w:br/>
        <w:t xml:space="preserve">(249) Therefore, it will not be decisive for Prosegur's future market position whether Brink's has concentrated more on […] in the past. […] No other competitor will have a comparable customer base in the Berlin market, which is the basis for the efficient utilization of the network.  </w:t>
        <w:br/>
        <w:t xml:space="preserve">(250) However, […] the parties cannot substantiate through the submitted report, so that neither their market shares nor the statements regarding the particular significance of bank customers as system customers are called into question.  </w:t>
        <w:br/>
        <w:t xml:space="preserve">(251) The report submitted by the merging parties has only limited significance regarding the overall market dynamics and specifically the competitive proximity of the parties in the Berlin market. This is due to the restriction of the analysis to formalized tenders in which the parties participated, in conjunction with the low share of the evaluated formalized tenders in the total demand volume. Additionally, according to the parties, only rough estimates of the individual order volumes remain, resulting in significant uncertainties in the data basis as well as inconsistencies between the respective statements of the two parties.153  </w:t>
        <w:br/>
        <w:t xml:space="preserve">(252) The statements indicate that formalized tender procedures do take place, but large demanders, such as […], forgo such formalized tenders and only obtain alternative offers from individual competitors at regular intervals.154  </w:t>
        <w:br/>
        <w:t xml:space="preserve">(253) The merging parties also state that through formalized tender procedures, typically only a smaller part of the typical mechanisms of contract awarding or acquisition in the relevant markets is captured, as the parties also generate revenue through other means. […]  </w:t>
        <w:br/>
        <w:t xml:space="preserve">(254) Even if the parties include all formalized tenders known to them from the past two years in the analysis, the experts themselves state that in this way only a maximum of one quarter of the market volume in Berlin has been considered, with the parties' assessments of what market volume has been covered by the tenders also differing significantly. While Prosegur estimates that the recorded tenders account for only […]% of the total market volume in Berlin, Brink's assumes a share of […]%.  </w:t>
        <w:br/>
        <w:t xml:space="preserve">(255) Thus, according to the parties' own statements, the report cannot derive any conclusions for at least […]% of the demand in the Berlin market. Therefore, the observed behavior of the parties in the evaluated tenders cannot be used to draw conclusions about the overall market behavior of the parties and their competitive proximity. Overall, the report does not demonstrate the emergence of a  </w:t>
        <w:br/>
        <w:t xml:space="preserve">153 The stated reasons for the limited significance of the report apply equally to the two market areas of Hamburg and Munich, for which the report also contains statements.  </w:t>
        <w:br/>
        <w:t>154 See email from attorney Dr. Slobodenjuk, Clifford Chance, dated June 11, 2013, attachment 130611 - Pearl - response to the information request of June 5, 2013, page 4, Bl. 1739 d.A.</w:t>
      </w:r>
    </w:p>
    <w:p>
      <w:r>
        <w:rPr>
          <w:b/>
        </w:rPr>
        <w:t>[Pages 94–96]</w:t>
      </w:r>
    </w:p>
    <w:p>
      <w:r>
        <w:t xml:space="preserve">94  </w:t>
        <w:br/>
        <w:t xml:space="preserve">to question the dominant market position of Prosegur in the Berlin market as a result of the merger.  </w:t>
        <w:br/>
        <w:t xml:space="preserve">2. Competitive Assessment for the Hamburg Market  </w:t>
        <w:br/>
        <w:t xml:space="preserve">(256) It is not expected that the implementation of the notified merger would significantly impede effective competition in the cash services market in Hamburg, neither through the creation or strengthening of a dominant position nor through other unilateral effects that would significantly hinder competition.  </w:t>
        <w:br/>
        <w:t xml:space="preserve">a. Market Area  </w:t>
        <w:br/>
        <w:t xml:space="preserve">[…]  </w:t>
        <w:br/>
        <w:t xml:space="preserve">Figure 20 - Supply Relationships Brink's Hamburg  </w:t>
        <w:br/>
        <w:t xml:space="preserve">(257) The relevant geographical market Hamburg, which is served by the Brink's branch in Hamburg, can be described as the area of the Free and Hanseatic City of Hamburg and the southern part of postal code area 21 that adjoins it. To the north, postal code areas 23 up to the island of Fehmarn and 24 in the northern part of Hamburg up to Neumünster and Kiel also form part of the market. To the east, the border of the two federal states of Schleswig-Holstein and Mecklenburg-Vorpommern essentially also marks the boundary of Brink's area of activity.155  </w:t>
        <w:br/>
        <w:t xml:space="preserve">[…]  </w:t>
        <w:br/>
        <w:t xml:space="preserve">Figure 21 - Market Area Hamburg (Postal Code Areas)  </w:t>
        <w:br/>
        <w:t xml:space="preserve">(258) The relevant geographical market is not larger than the area described here, as the Brink's branch in Hamburg generates only minor revenues outside this area in the adjacent regions. The demand in this delineated market accounts for approximately […]% of the cash services offered by the Brink's branch in Hamburg.156  </w:t>
        <w:br/>
        <w:t xml:space="preserve">155 The list of postal codes describing the market area is attached to the letter as an annex "Postal Codes Market Area Hamburg."  </w:t>
        <w:br/>
        <w:t>156 The supply relationships of the branch in Kiel, which consists of a driving base, have not been included in the calculation of revenues nor in the delineation of the supply relationships to be included in the market.</w:t>
      </w:r>
    </w:p>
    <w:p>
      <w:r>
        <w:t xml:space="preserve">95  </w:t>
        <w:br/>
        <w:t xml:space="preserve">(259) The services offered by the Prosegur branch in Hamburg are also utilized by […]% of demanders within this market area.  </w:t>
        <w:br/>
        <w:t xml:space="preserve">(260) The demanders in the Hamburg market predominantly meet their need for cash services from companies that are based within the market area.  </w:t>
        <w:br/>
        <w:t xml:space="preserve">(261) Competitors of the parties involved were surveyed regarding both the branches operated and the areas in which they sell their services. Where possible, data was collected for 5-digit postal codes or for 2-digit postal code areas. Providers based outside the market area supply less than 13% of the services to the market area. This includes the two companies Unicorn with a branch in Adendorf near Lüneburg and the branch of MST Sicherheitstransportgesellschaft Mecklenburg mbH (MST), which belongs to SVG Sicherheitsverwaltungs AG (SVG AG), in Wittenförden. The Kötter branch in Bremen indicated upon inquiry that it generates 0-5% of its total revenues in the postal code areas that describe the Hamburg market. The contracts fully awarded to subcontractors for the company's customers account for less than 1% of the total market volume in Hamburg.157 Other companies are not considered as providers for the market due to the excessive distance of the nearest cash center.  </w:t>
        <w:br/>
        <w:t xml:space="preserve">(262) In calculating market shares, the revenues of the parties involved were attributed to the market area based on 5-digit postal codes. Revenues of the joined parties Ziemann and Unicorn were also determined at the postal code level. Only for SVG AG with its two subsidiaries MST Wittenförden and TranSecurity, Rastede, were revenues based on 2-digit postal code areas or for the MST branch in Bordesholm, which serves postal code areas 24 and 25, fully included. The revenues of HLS Hamburger Logistik Service GmbH were also fully attributed to the market volume, provided they were generated with non-group companies. Intra-group revenues, on the other hand, are regularly not attributed to the market volume in the competitive assessment.158 Nevertheless, it is not expected that the competitive assessment would have led to a different result with a postal code-specific recording of the revenues of all providers. For the result, it is not primarily the absolute level of market shares that is decisive, but rather their distribution and, above all, the market structure.  </w:t>
        <w:br/>
        <w:t xml:space="preserve">b. Market Volume, Market Shares, Market Share Gaps  </w:t>
        <w:br/>
        <w:t xml:space="preserve">Competitors Revenue Market Share  </w:t>
        <w:br/>
        <w:t xml:space="preserve">Prosegur […] [35-40]%  </w:t>
        <w:br/>
        <w:t xml:space="preserve">[…]  </w:t>
        <w:br/>
        <w:t xml:space="preserve">Brink's [20-25]%  </w:t>
        <w:br/>
        <w:t xml:space="preserve">Merging Parties  </w:t>
        <w:br/>
        <w:t xml:space="preserve">[…]  </w:t>
        <w:br/>
        <w:t xml:space="preserve">together […]%  </w:t>
        <w:br/>
        <w:t xml:space="preserve">Ziemann 15-20%  </w:t>
        <w:br/>
        <w:t xml:space="preserve">Unicorn Geld- und Wertdienstleistungen GmbH 5-10%  </w:t>
        <w:br/>
        <w:t xml:space="preserve">Ziemann and Unicorn after a possible merger 20-25%  </w:t>
        <w:br/>
        <w:t xml:space="preserve">SVG AG 10-15%  </w:t>
        <w:br/>
        <w:t xml:space="preserve">HLS Hamburger Logistik Service GmbH 5-10%  </w:t>
        <w:br/>
        <w:t xml:space="preserve">DB Services / Deutsche Bahn AG &lt;1%  </w:t>
        <w:br/>
        <w:t xml:space="preserve">DRS Security GmbH &lt;1%  </w:t>
        <w:br/>
        <w:t xml:space="preserve">29,406,073.70  </w:t>
        <w:br/>
        <w:t xml:space="preserve">Market Volume Hamburg 100.00%  </w:t>
        <w:br/>
        <w:t xml:space="preserve">Table 3 - Competitive Situation in the Hamburg Market  </w:t>
        <w:br/>
        <w:t xml:space="preserve">(1) Market Volume  </w:t>
        <w:br/>
        <w:t xml:space="preserve">(263) The market volume in the relevant geographical Hamburg market based on figures for the year 2012 is over 29 million euros. It was determined using the same methodological approach as for the Berlin market.  </w:t>
        <w:br/>
        <w:t xml:space="preserve">(2) Market Shares  </w:t>
        <w:br/>
        <w:t>158 Cf. para. 184.</w:t>
      </w:r>
    </w:p>
    <w:p>
      <w:r>
        <w:rPr>
          <w:b/>
        </w:rPr>
        <w:t>[Pages 97–99]</w:t>
      </w:r>
    </w:p>
    <w:p>
      <w:r>
        <w:t xml:space="preserve">97  </w:t>
        <w:br/>
        <w:t xml:space="preserve">(264) After the merger, Prosegur achieves a market share of more than […]%. Even before the merger, Prosegur was the market leader in the Hamburg market with a market share of more than […]%. The two leading companies in the Hamburg market are involved in the merger.  </w:t>
        <w:br/>
        <w:t xml:space="preserve">(265) In the Hamburg market, in addition to the merging parties, there are currently four companies operating with market shares over 5%. The two companies DB Services and DRS Security GmbH achieve only marginal revenues of significantly less than 1%.  </w:t>
        <w:br/>
        <w:t xml:space="preserve">(3) Market Share Gaps and Market Development  </w:t>
        <w:br/>
        <w:t xml:space="preserve">(266) In the Hamburg market, the merging parties have a market share lead over the next largest competitor Ziemann of more than 35 percentage points. After the completion of the merger between Ziemann and Unicorn, Ziemann/Unicorn would still be more than 30 percentage points behind Prosegur. The remaining market shares are accounted for by the two smaller competitors in the market, SVG AG and HLS.  </w:t>
        <w:br/>
        <w:t xml:space="preserve">(267) Prosegur's market share is thus more than 2.5 times higher than that of the next largest competitor, even after its merger with Unicorn.  </w:t>
        <w:br/>
        <w:t xml:space="preserve">(268) In Hamburg, as in Berlin, the revenue developments in the cash services market for the past years could not be traced. The necessary revenue data were not available from the relevant companies.  </w:t>
        <w:br/>
        <w:t xml:space="preserve">c. Market Structures  </w:t>
        <w:br/>
        <w:t>(269) […] Prosegur generates over […]% of its revenue from the main customer of its Hamburg branch. The top 5 customers account for more than […]% of total revenues, and the top 10 customers account for more than […]% of revenues. Just over […] of the revenues with top 10 customers are generated with […].</w:t>
      </w:r>
    </w:p>
    <w:p>
      <w:r>
        <w:t xml:space="preserve">98  </w:t>
        <w:br/>
        <w:t xml:space="preserve">(270) […] With the largest customer in Hamburg, less than […]% of revenues are generated. The top 5 customers achieve a total revenue share of less than […]%. The revenue share attributable to the top 10 customers amounts to less than […]%. In Hamburg, at least […] of the top customers belong to the retail sector and account for a revenue share of […]%. Not all of these retail customers form so-called carrier logistics networks, as they do not utilize services at a multitude of branches.  </w:t>
        <w:br/>
        <w:t xml:space="preserve">(271) Among the other providers operating in the market, Ziemann and Unicorn are two of the regionally active companies represented in the market with branches. After the completion of the notified merger Ziemann/Unicorn, Ziemann would expand its market position and, despite its significant market share gap, would be able to restrict Prosegur's behavioral leeway. The merger with Unicorn would enable Ziemann to incorporate its previously isolated location in Lübeck into the Unicorn network, thereby ensuring a stable presence for Ziemann in the region. Ziemann also has shareholders who are currently willing and able to provide financial resources for the expansion of business activities. After the merger, Ziemann would operate in large parts of Germany and would have the densest branch network in Germany after Prosegur. In this respect, it is expected that this business strategy will be associated with sustainable market activity.  </w:t>
        <w:br/>
        <w:t>(272) HLS, as a subsidiary of Haspa, which actively markets to customers in the banking and retail sectors beyond its activities for its parent company, also restricts Prosegur's behavioral options, especially since the company has grown in recent years and an expansion of activities in the relevant market is expected in the future. In this context, the particular financial strength of the parent company should also be taken into account, which can enable financing for a sustainable expansion of business activities. Additionally, Haspa's connections to other savings banks in the region suggest that HLS may succeed in attracting regional carrier customers in the future and thus building and operating an economic network.</w:t>
      </w:r>
    </w:p>
    <w:p>
      <w:r>
        <w:t xml:space="preserve">99  </w:t>
        <w:br/>
        <w:t xml:space="preserve">(273) Finally, SVG AG, Wilhelmshaven,159 which operates as a medium-sized company in the market, also exerts some pressure on Prosegur. The relevant market area is part of the core business area of SVG AG, which the company serves from several locations. Market knowledge and customer relationships thus create a certain additional competitive pressure. This would not, on its own, be sufficient to limit Prosegur's behavioral leeway post-merger. However, as an additional market participant alongside Ziemann/Unicorn and HLS, SVG AG can also provide competitive impulses.  </w:t>
        <w:br/>
        <w:t xml:space="preserve">(274) Due to the asymmetry of these providers, particularly regarding their geographical areas of activity and their respective corporate structures (a globally active corporation in the security industry, a medium-sized company with a regional focus, and a company integrated into Haspa as a credit institution), the emergence of a collective dominant market position as a coordinated effect of the merger is not to be expected. This applies both in the event of the merger between Ziemann and Unicorn taking place and in the event of its failure.  </w:t>
        <w:br/>
        <w:t xml:space="preserve">d. Potential Competition from Companies in Adjacent Markets  </w:t>
        <w:br/>
        <w:t xml:space="preserve">(275) In addition to current competitors, potential competitors can also influence the behavioral leeway of already active providers in a relevant market, particularly companies that are already active in adjacent markets. The credible threat of market entry can contribute to maintaining competitive behavior.  </w:t>
        <w:br/>
        <w:t xml:space="preserve">(276) Such competitive pressure comes from Kötter as a potential competitor. Kötter currently engages subcontractors to provide services to its (small) customer base in the relevant market. However, Kötter's business area borders – unlike in  </w:t>
        <w:br/>
        <w:t>159 SVG AG was founded in 1982 and is a holding company with 20 different subsidiaries that provide services in the security sector, including cash and valuables transport. SVG AG offers its services through Cash Logistik Security AG, MST Sicherheitstransportgesellschaft Mecklenburg GmbH, Schwerin, and TSO TransSecurity Werttransporte Sicherheitsservice GmbH, Rastede.</w:t>
      </w:r>
    </w:p>
    <w:p>
      <w:r>
        <w:rPr>
          <w:b/>
        </w:rPr>
        <w:t>[Pages 100–102]</w:t>
      </w:r>
    </w:p>
    <w:p>
      <w:r>
        <w:t xml:space="preserve">100  </w:t>
        <w:br/>
        <w:t xml:space="preserve">Berlin – directly connects to the relevant market through the catchment area of the location in Bremen. Although Kötter is currently not actively offering services in the Hamburg market, the company, as one of the largest cash service providers in Germany, is capable of expanding its business activities from this location or entering the market by establishing a branch in Hamburg.  </w:t>
        <w:br/>
        <w:t xml:space="preserve">(277) In the overall assessment of the competitive parameters in the Hamburg market, the presence of several larger competitors with a sufficient level of financial strength is particularly adequate to deny the emergence of a dominant market position for Prosegur after the merger, in comparison to the situation in the Berlin market.  </w:t>
        <w:br/>
        <w:t xml:space="preserve">3. Competitive Assessment for the Munich Market  </w:t>
        <w:br/>
        <w:t xml:space="preserve">(278) It is not expected that the implementation of the notified merger would significantly impede effective competition in the cash services market in Munich, neither through the emergence or strengthening of a dominant market position nor through other unilateral effects that significantly hinder competition.  </w:t>
        <w:br/>
        <w:t xml:space="preserve">a. Munich Market  </w:t>
        <w:br/>
        <w:t xml:space="preserve">[…]  </w:t>
        <w:br/>
        <w:t xml:space="preserve">Figure 22 - Supply Relationships Brink's Munich  </w:t>
        <w:br/>
        <w:t xml:space="preserve">[…]  </w:t>
        <w:br/>
        <w:t xml:space="preserve">Figure 23 - Munich Market (Postal Code Areas)  </w:t>
        <w:br/>
        <w:t xml:space="preserve">(279) The spatially relevant market Munich, which is served by the Brink's branch in Munich, can be described as the area of the state capital Munich as well as the southern postal code areas 82 and 83, which form the border region to Austria. North of Munich, parts of the postal code areas 85 to Ingolstadt and 86 (Augsburg in the northeastern direction to Ingolstadt) constitute the market area. Individual postal code areas of postal code area 84 also belong to the market.  </w:t>
        <w:br/>
        <w:t xml:space="preserve">(280) The spatially relevant market is not larger than the area described here, as the Brink's branch in Munich generates only minor revenues in the adjacent areas outside this region. The areas of activity of the other Brink's branches do not overlap with the catchment area of the Munich branch, so there are no indications that larger spatially relevant markets could be delineated due to overlapping markets.  </w:t>
        <w:br/>
        <w:t xml:space="preserve">(281) The demanders in this delineated market request […]% of the cash services offered by the Brink's branch in Munich.  </w:t>
        <w:br/>
        <w:t xml:space="preserve">(282) The services offered by the Prosegur branch in Munich are also utilized by demanders within this market area to […]%.  </w:t>
        <w:br/>
        <w:t xml:space="preserve">(283) The demanders in the Munich market predominantly meet their need for cash services from companies that are based within the market area. Providers based outside the market area deliver significantly less than 5% of the services to the market area. This includes the companies S.A.T. Security &amp; Transport Corporation GmbH, Legau, Götz-Geld- und Wertedienste GmbH &amp; Co KG, Chemnitz, with a branch in Regensburg, BWS Sicherheitsdienst Taddäus Chmiel, Thaining, as well as Konrad Allgaier Spedition GmbH &amp; Co. KG, Neu-Ulm.  </w:t>
        <w:br/>
        <w:t xml:space="preserve">b. Market Volume, Market Shares, Market Share Gaps  </w:t>
        <w:br/>
        <w:t xml:space="preserve">Competitors - Munich Revenue Market Share  </w:t>
        <w:br/>
        <w:t xml:space="preserve">Prosegur […] [25-30]%  </w:t>
        <w:br/>
        <w:t xml:space="preserve">Brink's […] [15-20]%  </w:t>
        <w:br/>
        <w:t xml:space="preserve">Merging Parties Together […] […]%  </w:t>
        <w:br/>
        <w:t xml:space="preserve">ZIEMANN SICHERHEIT GmbH [35-40%]  </w:t>
        <w:br/>
        <w:t xml:space="preserve">GSB Security Gesellschaft für Geld- und Werttransporte mbH - [5-10%]  </w:t>
        <w:br/>
        <w:t xml:space="preserve">ExSiRo GmbH [5-10%]  </w:t>
        <w:br/>
        <w:t xml:space="preserve">S.A.T. GmbH Security &amp; Transport Corporation [1-5%]  </w:t>
        <w:br/>
        <w:t xml:space="preserve">Securicoin GmbH [1-5%]  </w:t>
        <w:br/>
        <w:t xml:space="preserve">GSA, Salzburg [1-5%]  </w:t>
        <w:br/>
        <w:t xml:space="preserve">GÖTZ Geld- und Wertdienste GmbH &amp; Co. KG, Regensburg [&lt;1%]  </w:t>
        <w:br/>
        <w:t xml:space="preserve">DB Services / Deutsche Bahn AG [&lt;1%]  </w:t>
        <w:br/>
        <w:t xml:space="preserve">BWS Sicherheitsdienst Thaddäus Chmiel [&lt;1%]  </w:t>
        <w:br/>
        <w:t xml:space="preserve">Konrad Allgaier Spedition GmbH &amp; Co. KG [&lt;1%]  </w:t>
        <w:br/>
        <w:t xml:space="preserve">Prosave Security GbR [&lt;1%]  </w:t>
        <w:br/>
        <w:t xml:space="preserve">Market Volume Munich 32,275,703.88 100.00%  </w:t>
        <w:br/>
        <w:t xml:space="preserve">Table 4 - Competitive Situation in the Munich Market  </w:t>
        <w:br/>
        <w:t xml:space="preserve">(1) Market Volume  </w:t>
        <w:br/>
        <w:t xml:space="preserve">(284) The market volume in the spatially relevant Munich market is based on figures for the year 2012 and amounts to more than €32 million. It was determined using the same methodological approach as for the market areas of Berlin and Hamburg.  </w:t>
        <w:br/>
        <w:t xml:space="preserve">(285) In calculating market shares, the revenues of the parties involved were attributed to the market area based on 5-digit postal codes. Revenues of the joined party Ziemann were also calculated precisely by postal code. The revenues of the GSB branch in Karlsfeld as well as the revenues of the ExSiRo branch in Fürstenfeldbruck and the smaller providers in the market were fully included in the market volume. Only the revenues of S.A.T. were included proportionally based on 2-digit postal codes.  </w:t>
        <w:br/>
        <w:t xml:space="preserve">(286) Nevertheless, it is not expected that the competitive assessment would have led to a different result with a precise postal code-based recording of the revenues of all providers. For the result, it is not primarily the absolute level of market shares that is decisive, but rather their distribution and, above all, the market structure.  </w:t>
        <w:br/>
        <w:t>(2) Market Shares</w:t>
      </w:r>
    </w:p>
    <w:p>
      <w:r>
        <w:rPr>
          <w:b/>
        </w:rPr>
        <w:t>[Pages 103–105]</w:t>
      </w:r>
    </w:p>
    <w:p>
      <w:r>
        <w:t xml:space="preserve">103  </w:t>
        <w:br/>
        <w:t xml:space="preserve">(287) Prosegur will achieve a market share of more than [40-45]% after the merger. Before the merger, Ziemann is the market leader in terms of revenues, while Prosegur and Brink's are the second and third largest providers in the market, respectively.  </w:t>
        <w:br/>
        <w:t xml:space="preserve">(288) In the Munich market, in addition to the merging parties and the joined party Ziemann, there are currently two other medium-sized companies operating with market shares of over 5%. Among the two other companies listed in the table with market shares between 1% and 5%, Securicoin GmbH is a company that exclusively offers coin processing services. GSA, Salzburg, which until recently offered services in the market from its branch in Salzburg and transported cash for processing to Austria, had to suspend this service due to a lack of official approval in the meantime. Prosegur has thus gained revenues in this respect. From this perspective, the results of the market investigations for the year 2012 lead to an undervaluation of the market shares of the merging parties.  </w:t>
        <w:br/>
        <w:t xml:space="preserve">(3) Market Share Gaps and Market Developments  </w:t>
        <w:br/>
        <w:t xml:space="preserve">(289) In the Munich market, the merging parties barely exceed the threshold for the presumption of individual market dominance, achieving the largest market share of over [40-45]%. The market share lead over the joined party Ziemann is, however, only a maximum of 5 percentage points.  </w:t>
        <w:br/>
        <w:t xml:space="preserve">(290) In Munich, as in Berlin and Hamburg, the revenue developments in the cash services market for the past years could not be traced. The necessary revenue data was not available from the relevant companies.  </w:t>
        <w:br/>
        <w:t xml:space="preserve">a. Market Structures  </w:t>
        <w:br/>
        <w:t xml:space="preserve">(291) Among the other providers operating in the market, Ziemann is represented as a nationwide company with branches.  </w:t>
        <w:br/>
        <w:t xml:space="preserve">104  </w:t>
        <w:br/>
        <w:t xml:space="preserve">In particular, Baden-Württemberg and Bavaria are part of Ziemann's core business area, so the company has a broad customer base and a solid position here.  </w:t>
        <w:br/>
        <w:t xml:space="preserve">(292) Even after the merger, Ziemann would be able to restrict Prosegur's scope of behavior due to its market position.  </w:t>
        <w:br/>
        <w:t xml:space="preserve">(293) The two medium-sized providers (ExSiRo and GSB) also have a customer base from the trade and banking sectors, which suggests a sustainable activity. Due to their focus on trade and regional credit institutions, at least a certain competitive pressure is exerted on the two large market participants.  </w:t>
        <w:br/>
        <w:t xml:space="preserve">(294) After the merger, both internal and external competition will prevail in the Munich market to an extent that ensures competitive structures and prevents the emergence of a non-competitive oligopoly among the largest providers in the market. The assessment particularly assumes that the market shares are only symmetrical in the Munich market, but Prosegur and Ziemann/Unicorn will also encounter each other in markets where this symmetry does not exist (Market Hamburg, Market Berlin, Market Area Frankfurt)160, and thus there are sufficient mutual incentives to further expand their market position and compete with each other.161 Furthermore, in the Munich market area, there are also other medium-sized companies with a regional focus that will exert a certain competitive pressure on Prosegur as well as on Ziemann.  </w:t>
        <w:br/>
        <w:t xml:space="preserve">160 In these markets, Prosegur is at least the market leader.  </w:t>
        <w:br/>
        <w:t xml:space="preserve">161 In the merger proceedings Ziemann/Unicorn (B4-44/13), investigations have shown that in Baden-Württemberg, e.g., in the market area of Stuttgart, Ziemann/Unicorn will be the market leader after the merger ahead of Prosegur as the third strongest company with a significant market share gap.  </w:t>
        <w:br/>
        <w:t xml:space="preserve">105  </w:t>
        <w:br/>
        <w:t xml:space="preserve">4. Competitive Assessment of Other Markets  </w:t>
        <w:br/>
        <w:t xml:space="preserve">a. Market Area Leipzig  </w:t>
        <w:br/>
        <w:t xml:space="preserve">(295) The merger will not lead to a significant hindrance of effective competition in the Leipzig area.  </w:t>
        <w:br/>
        <w:t xml:space="preserve">(296) Brink’s has a branch in Sietzsch (near Leipzig), which Brink’s acquired from Unicorn as part of the branch exchange. The delivery radius for 95% of the nearest customers of the Sietzsch branch is […] km.162 Thus, the area of the Sietzsch branch almost completely encompasses the delivery radius for 95% of the customers from the Brink’s branches in Weimar and Chemnitz. Brink's delivers from the Sietzsch branch (Leipzig) only to a marginal extent in the Berlin market area. Also, from the Brink's branches in Berlin, cash services are provided only to such a small extent in the area where the Sietzsch branch operates that this contradicts the delineation of a larger spatial market.  </w:t>
        <w:br/>
        <w:t xml:space="preserve">(297) Therefore, a uniformly delineated regional market was considered, which encompasses the catchment area of the three Brink's branches according to their delivery radii for 95% of customers.  </w:t>
        <w:br/>
        <w:t xml:space="preserve">[…]  </w:t>
        <w:br/>
        <w:t xml:space="preserve">Figure 24 - Market Area Leipzig  </w:t>
        <w:br/>
        <w:t xml:space="preserve">[…]  </w:t>
        <w:br/>
        <w:t xml:space="preserve">Figure 25 - Delivery Relationships Brink's Leipzig  </w:t>
        <w:br/>
        <w:t xml:space="preserve">[…]  </w:t>
        <w:br/>
        <w:t xml:space="preserve">Figure 26 - Delivery Relationships Brink's Erfurt  </w:t>
        <w:br/>
        <w:t xml:space="preserve">[…]  </w:t>
        <w:br/>
        <w:t xml:space="preserve">Figure 27 - Delivery Relationships Brink's Chemnitz  </w:t>
        <w:br/>
        <w:t>162 See Unicorn, response to question 5 of the information decision dated March 18, 2013 in the proceedings B4-18/13 (Prosegur/Brink's).</w:t>
      </w:r>
    </w:p>
    <w:p>
      <w:r>
        <w:rPr>
          <w:b/>
        </w:rPr>
        <w:t>[Pages 106–108]</w:t>
      </w:r>
    </w:p>
    <w:p>
      <w:r>
        <w:t xml:space="preserve">106  </w:t>
        <w:br/>
        <w:t xml:space="preserve">Competitor Revenue Market Share  </w:t>
        <w:br/>
        <w:t xml:space="preserve">Prosegur […] [15-20]%  </w:t>
        <w:br/>
        <w:t xml:space="preserve">Brink's […] [5-10]%  </w:t>
        <w:br/>
        <w:t xml:space="preserve">Merging Parties […] […]%  </w:t>
        <w:br/>
        <w:t xml:space="preserve">ITT Industrie- und Transportschutz Thüringen GmbH [20-25%]  </w:t>
        <w:br/>
        <w:t xml:space="preserve">GÖTZ Geld- und Wertdienste GmbH &amp; Co. KG [15-20%]  </w:t>
        <w:br/>
        <w:t xml:space="preserve">GWS Sicherheitsservice Geld-, Wert- und Sachtransporte GmbH [10-15%]  </w:t>
        <w:br/>
        <w:t xml:space="preserve">b.i.g. sicherheit gmbh Objekt- und Personenschutz Halle [5-10%]  </w:t>
        <w:br/>
        <w:t xml:space="preserve">DWSI Geld- und Wert-Logistik GmbH &amp; Co. [5-10%]  </w:t>
        <w:br/>
        <w:t xml:space="preserve">GSB Security Gesellschaft für Geld- und Werttransporte mbH [5-10%]  </w:t>
        <w:br/>
        <w:t xml:space="preserve">elko Sicherheit GmbH [1-5%]  </w:t>
        <w:br/>
        <w:t xml:space="preserve">HEROS Geld- und Werttransport GmbH (Sparkasse Leipzig) [&lt;1%]  </w:t>
        <w:br/>
        <w:t xml:space="preserve">DB Services / Deutsche Bahn AG [&lt;1%]  </w:t>
        <w:br/>
        <w:t xml:space="preserve">De Blois Security/ Deutsche Werk- und Sicherheitsdienste GmbH [&lt;1%]  </w:t>
        <w:br/>
        <w:t xml:space="preserve">Market Volume 58,785,244.04 100.00%  </w:t>
        <w:br/>
        <w:t xml:space="preserve">Table 5 - Competitive Situation in the Leipzig Market (Leipzig, Erfurt, Chemnitz)  </w:t>
        <w:br/>
        <w:t>(298) The market share of the merging parties in such a defined market is [25-30]% and thus significantly below the presumption threshold (§ 18 Abs. 4 GWB) for individual market dominance. In this market, there are a number of strong, medium-sized companies that limit the behavioral scope of the merging parties and collectively achieve a market share of almost 70%. There are three cash service providers with significant market shares of over 10% and three others with a respective market share of over 5% operating in the market area. Furthermore, there is a Unicorn branch in Braunschweig, outside of such a defined market area, from which further competitive pressure on the merging parties arises.</w:t>
      </w:r>
    </w:p>
    <w:p>
      <w:r>
        <w:t xml:space="preserve">107  </w:t>
        <w:br/>
        <w:t xml:space="preserve">(299) Given the existing market structure, it is not expected that the merger will significantly impede effective competition in the Leipzig market. On the other hand, the existing market leadership of the merging parties indicates that this market area does not generate competitive impulses that could relativize the findings established for the Berlin market.  </w:t>
        <w:br/>
        <w:t xml:space="preserve">b. Market Area Kassel  </w:t>
        <w:br/>
        <w:t xml:space="preserve">(300) The market in the Kassel area is a minor market within the meaning of § 36 Abs. 1 Satz 2 Nr. 2 GWB. In the past year, less than €15 million were generated in the market.  </w:t>
        <w:br/>
        <w:t xml:space="preserve">(301) Brink’s has a branch in Kassel. The delivery radius for 95% of the nearest customers of the branch is […] km.163 Besides Prosegur and Brink’s, only Deutsche Bahn AG with a branch of DB Services is represented in the catchment area of Brink’s. The determined market volume in Kassel is below €5 million and thus significantly below the minor market threshold of €15 million. It is not expected that including the revenues of the branches of competitors (WSG in Eisenach, Kötter in Paderborn, and S&amp;T Logistik GmbH &amp; Co. KG in Burghaun), which are located in close proximity to the defined market, will lead to exceeding the minor market threshold. To the east of this market, the Leipzig market area connects, where the merging parties do not achieve competitively concerning market shares. To the north and west, the regional providers Unicorn and Kötter are represented with branches. To the south, the Frankfurt region connects, where Brink's is also represented with a branch, and the merger does not give rise to any concerns under merger control law.  </w:t>
        <w:br/>
        <w:t>163 See Unicorn, response to question 5 of the information decision dated March 18, 2013 in case B4-18/13 (Prosegur/Brink's).</w:t>
      </w:r>
    </w:p>
    <w:p>
      <w:r>
        <w:t xml:space="preserve">108  </w:t>
        <w:br/>
        <w:t xml:space="preserve">c. Market Area Frankfurt a.M.  </w:t>
        <w:br/>
        <w:t xml:space="preserve">(302) The merger will not lead to a significant impediment of effective competition in the cash services market in the Frankfurt area.  </w:t>
        <w:br/>
        <w:t xml:space="preserve">(303) The Brink’s branch in Frankfurt serves 95% of customers in an area of […] km. In the defined market, the market share of the merging parties is approximately [30-35]%.164 In addition to the merging parties, all regionally active providers (Kötter (Flörsheim), Unicorn (Frankfurt), and Ziemann (Mannheim)) are represented in this market. Furthermore, regionally stronger medium-sized competitors such as ITT Industrie- und Transportschutz Thüringen GmbH with a branch in Offenbach, IWS Industrie-Werkschutz GmbH in Aschaffenburg, and BS Beck Sicherheitsdienst GmbH &amp; Co. KG with branches in Simmern and Kaiserslautern are active in this area.  </w:t>
        <w:br/>
        <w:t xml:space="preserve">(304) Given the existing market structure, it is not expected that the merger will significantly impede effective competition in the Frankfurt market.  </w:t>
        <w:br/>
        <w:t xml:space="preserve">(305) […]  </w:t>
        <w:br/>
        <w:t xml:space="preserve">Figure 28 - Radius around the Brink's branch in Frankfurt a.M., serving 95% of customers  </w:t>
        <w:br/>
        <w:t xml:space="preserve">Market Participants Revenue Market Share  </w:t>
        <w:br/>
        <w:t xml:space="preserve">Prosegur […] [20-25]%  </w:t>
        <w:br/>
        <w:t xml:space="preserve">Brink's […] [5-10]%  </w:t>
        <w:br/>
        <w:t xml:space="preserve">Merging Parties […] […]%  </w:t>
        <w:br/>
        <w:t xml:space="preserve">ZIEMANN SICHERHEIT GmbH [15-20%]  </w:t>
        <w:br/>
        <w:t xml:space="preserve">Unicorn Geld- und Wertdienstleistungen GmbH [15-20%]  </w:t>
        <w:br/>
        <w:t>164 The revenues of Ziemann are based on the information from five-digit postal codes from case B4-44/13 Ziemann-Unicorn (RA Rinne, Milbank, dated June 18, 2013). The revenues of the branches of ITT Industrie- und Transportschutz Thüringen GmbH in Oberthulba, BS Beck in Kaiserslautern, and S&amp;T Logistik in Burghaun, which are located just outside the Brink’s area, were not taken into account.</w:t>
      </w:r>
    </w:p>
    <w:p>
      <w:r>
        <w:rPr>
          <w:b/>
        </w:rPr>
        <w:t>[Pages 109–111]</w:t>
      </w:r>
    </w:p>
    <w:p>
      <w:r>
        <w:t xml:space="preserve">109  </w:t>
        <w:br/>
        <w:t xml:space="preserve">KÖTTER Geld- &amp; Wertdienste GmbH &amp; Co. KG [10-15%]  </w:t>
        <w:br/>
        <w:t xml:space="preserve">IWS Industrie-Werkschutz GmbH [5-10%]  </w:t>
        <w:br/>
        <w:t xml:space="preserve">ITT Industrie- und Transportschutz Thüringen GmbH [1-5%]  </w:t>
        <w:br/>
        <w:t xml:space="preserve">BS Beck Sicherheitsdienst GmbH &amp; Co. KG [1-5%]  </w:t>
        <w:br/>
        <w:t xml:space="preserve">Security Service USS GmbH [1-5%]  </w:t>
        <w:br/>
        <w:t xml:space="preserve">GEORGI GmbH &amp; Co. KG - Transporte [&lt;1%]  </w:t>
        <w:br/>
        <w:t xml:space="preserve">GWD Geld- Wert- Daten- transporte GmbH &amp; Co. KG [&lt;1%]  </w:t>
        <w:br/>
        <w:t xml:space="preserve">DB Services / Deutsche Bahn AG [&lt;1%]  </w:t>
        <w:br/>
        <w:t xml:space="preserve">Security-Guard-Service Sicherheitsdienste GmbH [&lt;1%]  </w:t>
        <w:br/>
        <w:t xml:space="preserve">Market volume 49,387,196.73 100.00%  </w:t>
        <w:br/>
        <w:t xml:space="preserve">Table 6 - Competitive Situation in the Frankfurt a.M. Market  </w:t>
        <w:br/>
        <w:t xml:space="preserve">(306) After the completion of the merger Ziemann/Unicorn, the market shares of both providers (Ziemann on one side and Prosegur on the other) would be approximately equal, but each would remain below the presumption threshold for the presumption of market dominance. In the Frankfurt a.M. market, both internal and external competition will prevail to an extent that ensures competitive structures and prevents the emergence of a non-competitive oligopoly among the largest providers in the market (see the assessment for the Munich market).  </w:t>
        <w:br/>
        <w:t xml:space="preserve">d. Nuremberg Market  </w:t>
        <w:br/>
        <w:t xml:space="preserve">(307) The market in the Nuremberg area is a minor market within the meaning of § 36 Abs. 2 Satz 2 Nr. 2 GWB. In the past year, less than 15 million euros were generated in this market.  </w:t>
        <w:br/>
        <w:t xml:space="preserve">(308) Brink’s operates a branch in Nuremberg. The delivery radius for 95% of the nearest customers of the branch is […] km.165 The competitors operating in the catchment area of the branch generated total revenues of significantly less than 10 million euros. Thus, the market volume is below the minor market threshold.  </w:t>
        <w:br/>
        <w:t>165 See Unicorn, response to question 5 of the information decision dated March 18, 2013 in case B4-18/13 (Prosegur/Brink's).</w:t>
      </w:r>
    </w:p>
    <w:p>
      <w:r>
        <w:t xml:space="preserve">110  </w:t>
        <w:br/>
        <w:t xml:space="preserve">VI. Summary Overall Assessment  </w:t>
        <w:br/>
        <w:t xml:space="preserve">(309) Prosegur registered the project on February 1, 2013, to acquire all shares in Brink’s Deutschland GmbH and Brink’s Transport &amp; Service GmbH (hereinafter collectively: Brink’s).  </w:t>
        <w:br/>
        <w:t xml:space="preserve">(310) According to § 36 Abs. 1 Satz 1 GWB, a merger project is to be prohibited if it is expected to significantly impede effective competition, particularly if it is expected to establish or strengthen a dominant market position, unless the participating companies demonstrate that the merger will also lead to improvements in competitive conditions and that these improvements outweigh the disadvantages of market dominance. According to § 18 Abs. 1 Nr. 3 GWB, a company is dominant if it has a superior market position in relation to its competitors as a supplier or buyer of a specific type of goods or commercial services in the relevant market, both substantively and geographically.  </w:t>
        <w:br/>
        <w:t xml:space="preserve">(311) In the Berlin market, the merger with Brink’s will lead to the establishment of a dominant position for Prosegur.  </w:t>
        <w:br/>
        <w:t xml:space="preserve">(312) This dominant position arises from an overall assessment of all structural criteria shaping the cash services market in Berlin.  </w:t>
        <w:br/>
        <w:t xml:space="preserve">(313) Prosegur is currently the second strongest company in Berlin in terms of market shares and will acquire the market leader with Brink’s. In addition to a significant addition of market shares, the merger in Berlin will result in a market share for Prosegur/Brink’s that is well above the presumption threshold for individual market dominance of 40%. The market share lead of Prosegur/Brink’s over the other competitors in Berlin is substantial. Through the acquisition of Brink’s, Prosegur significantly expands its customer network and also acquires a number of strategically important customers (key customers). The remaining competitors in the market are predominantly medium-sized companies (WSN), some of which do not cover the complete range of cash services (SIBA). Larger competitors are either represented in the Berlin market with only comparatively small market shares (Unicorn) or not at all (Ziemann and Kötter). Furthermore, Prosegur has a superior financial strength compared to its competitors, which it can use for better access to customers as well as to deter market entries. Market entries are not expected to occur to any significant extent due to the high barriers to entry (establishment of a network). Finally, even if customers were to strategically leverage their demand, they would have few alternatives in Berlin after the merger, as the continued existence of Unicorn itself in the event of an acquisition by Ziemann is uncertain.  </w:t>
        <w:br/>
        <w:t xml:space="preserve">(314) It is also not apparent that the conditions of the so-called balancing clause under § 36 Abs. 1 HS 2 GWB are met. The merging parties have not presented anything in this regard, and the investigations have not yielded any indications that the conditions of the balancing clause could be fulfilled.  </w:t>
        <w:br/>
        <w:t xml:space="preserve">VII. Conditions  </w:t>
        <w:br/>
        <w:t xml:space="preserve">(315) The merger project could only be approved with conditions. The conditions ensure that a competitive structure remains in the Berlin market even after the merger. On the one hand, it is necessary for the market share to be significantly reduced, and on the other hand, this market share must be transferred to one or more acquirers (the acquirer) who have a corporate structure that suggests they can successfully compete with the merging parties in the long term. A comprehensive non-competition clause is particularly important to ensure that the acquirer can establish a solid position with respect to the customers.  </w:t>
        <w:br/>
        <w:t>(316) To sufficiently exclude the emergence of a dominant position in the Berlin market, the divestiture obligations are structured as a resolutory condition. To maintain the structural effects of the divestiture, the design of the non-competition clause as a resolutory condition is necessary.</w:t>
      </w:r>
    </w:p>
    <w:p>
      <w:r>
        <w:rPr>
          <w:b/>
        </w:rPr>
        <w:t>[Pages 112–114]</w:t>
      </w:r>
    </w:p>
    <w:p>
      <w:r>
        <w:t xml:space="preserve">112  </w:t>
        <w:br/>
        <w:t xml:space="preserve">(317) The Federal Cartel Office has taken into account the results of the market test as well as the oral statements of the parties involved in the merger regarding the conditions proposed by the merging parties.  </w:t>
        <w:br/>
        <w:t xml:space="preserve">(318) The conditions prevent a significant hindrance to effective competition in the Berlin market for cash services. The conditions comply with the principle of proportionality, as they are suitable, necessary, and appropriate for eliminating the prohibition requirements of § 36 Abs. 1 Satz 1 GWB.  </w:t>
        <w:br/>
        <w:t xml:space="preserve">A. Divestiture Obligation  </w:t>
        <w:br/>
        <w:t xml:space="preserve">1. Subject Matter  </w:t>
        <w:br/>
        <w:t xml:space="preserve">a. Customer Contracts in the Berlin Market for Cash Services  </w:t>
        <w:br/>
        <w:t xml:space="preserve">(319) The divestiture of contractual relationships with an annual total revenue volume (based on the year 2012) of at least […] € in the Berlin market to one or a maximum of two suitable independent purchasers is suitable and necessary to counteract the significant restriction of effective competition resulting from the merger. It leads to a reduction of the joint market share by approximately 15%. It is also to be expected that, even with the transfer to a suitable purchaser, sufficient competitive pressure will be exerted on the parties involved and competitive market structures will be maintained in the long term.  </w:t>
        <w:br/>
        <w:t xml:space="preserve">(320) The condition that the contractual relationships to be transferred to the purchaser must be structured in such a way that a coherent network of customer access points is formed from a market perspective and must also include at least two contracts that form independent networks in terms of carrier logistics is proportional, suitable, and necessary. This ensures the transferability of the contracts and the long-term provision of services by a purchaser and does not make it dependent on whether the stops can be integrated into an existing network of a purchaser in the Berlin market. At least two contracts with customers, whose locations each form independent networks, are required to maintain the market position of a purchaser even if they were to lose one of the customers as a contractual partner during the forecast period.  </w:t>
        <w:br/>
        <w:t xml:space="preserve">(321) The locations must be within at least 95% of the radius in which the party to 3 serves 95% of its own customer locations in the market area. This is to ensure that the contracts and stops relate to the Berlin market and solidify the position of the purchaser there. The contracts to be transferred for a customer must not be divided. This regulation is necessary because the market reference of the condition is established by customer locations – not their revenues in the market area. If the contracts were divisible in such a way that the purchaser and the parties to 1-3 could operate side by side for parts of a divested customer order, this could undermine the market structure reference of the condition. Furthermore, the merging parties would remain in constant contact with the customer and could thus render the competition prohibition ineffective.  </w:t>
        <w:br/>
        <w:t xml:space="preserve">(322) The parties to 1-3 commit themselves – taking into account the aforementioned qualitative requirements for the overall package – to transfer a total annual revenue volume to the purchaser, not to the transfer of specific contracts, and are thus free to decide which contracts can be bundled into the overall package. The condition thus takes into account the principle of proportionality.  </w:t>
        <w:br/>
        <w:t xml:space="preserve">b. Infrastructure  </w:t>
        <w:br/>
        <w:t xml:space="preserve">(323) The subject of the divestiture includes, in addition to the corresponding customer contracts, everything that a potential purchaser deems necessary for service provision. This includes vehicles that can be used to provide cash services to customers, facilities for cash processing (cash centers), and corresponding employment relationships for the provision of suitable employees.  </w:t>
        <w:br/>
        <w:t xml:space="preserve">This ensures that even a purchaser not currently active in the Berlin market would be capable of providing services in a short time. If the purchaser is not dependent on the infrastructure for service provision, it does not need to be transferred.  </w:t>
        <w:br/>
        <w:t xml:space="preserve">2. Structuring as a Suspensive Condition  </w:t>
        <w:br/>
        <w:t xml:space="preserve">(324) The structuring of the condition as a suspensive condition is suitable, necessary, and appropriate. It prevents a situation from arising in which effective competition would be significantly hindered. The suspensive condition fulfills the principles of preventive merger control, which aims to prevent a deterioration of competitive conditions due to a merger.166 Through the suspensive effect, the parties to 1-3 are required to make every effort to achieve the clearance of the merger, even in the event of difficulties in the divestiture of individual contracts.  </w:t>
        <w:br/>
        <w:t xml:space="preserve">B. Competition Prohibition  </w:t>
        <w:br/>
        <w:t>(325) To sustainably secure the position of the purchaser in the market, the parties are subject to a two-year competition prohibition. This begins only after the complete takeover of service provision by the purchaser. Only from this point does the purchaser also de facto assume the position of the merging parties. Therefore, it is necessary to choose this point as a reference for the duration of the competition prohibition. The parties are protected against abusive delays in the complete provision of services by the purchaser through the exception possibility in No. 1 h) of the ruling of the decision. The competition prohibition relates to the active provision of cash services for customers whose contracts have been divested in the context of fulfilling the suspensive condition. It also includes the submission of offers to these customers, e.g., in the context of tenders or at the request of the customer to submit offers, even if the service provision according to the tender is scheduled for a time after the expiration of the competition prohibition.166 Cf. Ruppelt, in Langen/Bunte, § 40 Rdnr. 31.</w:t>
      </w:r>
    </w:p>
    <w:p>
      <w:r>
        <w:rPr>
          <w:b/>
        </w:rPr>
        <w:t>[Pages 115–117]</w:t>
      </w:r>
    </w:p>
    <w:p>
      <w:r>
        <w:t xml:space="preserve">115  </w:t>
        <w:br/>
        <w:t xml:space="preserve">is also necessary to protect the market position of the acquirer permanently for the entire duration of the non-compete obligation. The market test has shown that the period of two years represents, particularly according to the assessment of cash service providers, the lower limit at which one can assume with sufficient certainty that the market position of the acquirer will be solidified. Therefore, it is necessary to ensure comprehensive protection against competitive actions from Prosegur during this period. This also includes the obligation of Prosegur to terminate contracts with customers in the Berlin market, insofar as contracts from Brink’s with these customers are to be transferred to an acquirer to fulfill the divestiture obligation of these ancillary provisions. The term "customer" is to be understood broadly and particularly includes the contracting and the contracting business unit.  </w:t>
        <w:br/>
        <w:t xml:space="preserve">(326) The non-compete obligation does not serve to restrict the organic growth of the merging parties in the market, nor does it require ongoing behavioral monitoring. Rather, it ensures that the acquirer is given an appropriate period to position itself in relation to the customers in the context of service provision without having to differentiate itself against the activities or offers of the parties involved 1-3.  </w:t>
        <w:br/>
        <w:t xml:space="preserve">(327) Without the non-compete obligation, it would be expected that party 1 would be able to counteract the results of the ancillary provisions through unilateral behavior solely due to the existing business relationship and based on its financial strength and pricing capabilities.  </w:t>
        <w:br/>
        <w:t xml:space="preserve">(328) The period of two years is therefore overall suitable, necessary, and proportionate to permanently maintain the structural effects of the ancillary provisions.  </w:t>
        <w:br/>
        <w:t>(329) It is necessary to impose the non-compete obligation on parties 1-3 as a resolutory condition even after the occurrence of the suspensive condition. Only in this way can it be ensured that the structural effects of the obligations contained in the ancillary provisions remain permanently intact.</w:t>
      </w:r>
    </w:p>
    <w:p>
      <w:r>
        <w:t xml:space="preserve">116  </w:t>
        <w:br/>
        <w:t xml:space="preserve">C. Divestiture Deadlines  </w:t>
        <w:br/>
        <w:t xml:space="preserve">(330) The deadline of [...] or, in justified cases, up to [...] after the issuance of the decision by the Bundeskartellamt for the divestiture of customer contracts (I.4a)) is appropriate to conduct necessary negotiations with acquirers and, if necessary, customers, or to implement the divestiture of assets or the transfer of employment relationships to the acquirer. The merging parties have already begun implementing the ancillary provisions during the ongoing merger control proceedings and have initiated negotiations with acquirers or discussions with customers. The deadlines for the complete commencement of service provision to customers of [...] or, in justified cases, up to [...] after the conclusion of the contract (I.4.b)) are based on the results of the market test and take into account experiences that market participants have gathered in the context of a territory exchange, and are suitable and appropriate to realize the organizational measures that an acquirer must take.  </w:t>
        <w:br/>
        <w:t xml:space="preserve">D. Requirements for the Acquirer  </w:t>
        <w:br/>
        <w:t xml:space="preserve">(331) The requirements for the acquirer are suitable, necessary, and proportionate, as they ensure that the majority of customer contracts are transferred to an acquirer who can compete on equal terms with party 1 and thus secures a competitive market structure in the long term. The limitation to a maximum of two acquirers in total is necessary to ensure the preservation of competitive market structures that must be achieved with the ancillary provisions.  </w:t>
        <w:br/>
        <w:t xml:space="preserve">(332) To simplify negotiations with customers and acquirers regarding the acquisition of contractual relationships, the Bundeskartellamt has included an opening clause regarding the requirements for the acquirer for a contract volume of up to [...] € of the total annual sales volume to be divested from [...] €. This ensures that, if the divestiture to one or two suitable acquirers cannot be fully realized, medium-sized acquirers who are already active in the Berlin market can also be considered, thereby further securing their market activity and contributing to the improvement of the customer structure.  </w:t>
        <w:br/>
        <w:t xml:space="preserve">E. Appointment of a Trustee  </w:t>
        <w:br/>
        <w:t xml:space="preserve">(333) The appointment of a trustee is suitable, necessary, and proportionate to ensure the proper fulfillment of the ancillary provisions. In particular, it is the trustee's responsibility to ensure that there are no compensatory transactions between parties 1-3 and the acquirer that would fundamentally call into question the suitability of the acquirer with regard to the provisions of § 1 GWB. The trustee is also necessary to monitor compliance with the deadlines for the suspensive and resolutory conditions and to provide the Bundeskartellamt with reports that form the basis for necessary decisions (e.g., regarding the suitability of the acquirer, the timing of the fulfillment of the suspensive condition, or the occurrence of the resolutory condition).  </w:t>
        <w:br/>
        <w:t xml:space="preserve">VIII. Fees  </w:t>
        <w:br/>
        <w:t xml:space="preserve">(334) The approval of a merger project is subject to fees as an official act of the antitrust authority under § 40 GWB in accordance with § 80 Abs. 1 Sentence 2 No. 2 GWB. The antitrust authority may charge fees of up to €50,000, and in cases of particularly significant economic importance and exceptionally high administrative effort, up to €100,000 (§ 80 Abs. 2 Sentence 2 No. 1 in conjunction with Sentence 3 GWB). The notification of a merger under § 39 Abs. 1 GWB is also subject to fees in accordance with § 80 Abs. 1 Sentence 2 No. 1 GWB. The fee for the approval will be credited against the fee for the notification of the merger (§ 80 Abs. 1 Sentence 4 GWB).  </w:t>
        <w:br/>
        <w:t>(335) The amount of the fee is determined in accordance with § 80 Abs. 2 Sentence 1 GWB based on the personnel and material effort of the antitrust authority (cost coverage principle) taking into account the economic significance of the subject of the fee-based action (equivalence principle). In this context, the economic significance of the merger is of relatively greater importance. It arises</w:t>
      </w:r>
    </w:p>
    <w:p>
      <w:r>
        <w:rPr>
          <w:b/>
        </w:rPr>
        <w:t>[Pages 118–120]</w:t>
      </w:r>
    </w:p>
    <w:p>
      <w:r>
        <w:t xml:space="preserve">118  </w:t>
        <w:br/>
        <w:t xml:space="preserve">regularly arises from the expected economic benefits of the merger for the notifying companies and the effects on the affected market. For the economic benefits of the merger on the part of the companies, their revenues in the relevant markets and their market shares are indicative.167 Within the fee framework, the average case is to be assigned the medium fee as an appropriate fee. This amounts to € 25,000 according to the currently applicable fee framework. From this average value, adjustments may be made, depending on the respective economic significance and the workload, the amount of which is at the discretion of the antitrust authority.168  </w:t>
        <w:br/>
        <w:t xml:space="preserve">(336) The Federal Cartel Office attributes a significance to the notified merger project that is above average. Without the commitments offered by the parties, the merger would have been prohibited, as it would have led to a dominant market position of the merging parties in the cash services market in Berlin. In contrast, the merger results in significant market share additions in a number of other regional markets, where Prosegur becomes the market leader, unless this is already the case prior to the merger and the market position is strengthened as a result of the merger.  </w:t>
        <w:br/>
        <w:t xml:space="preserve">(337) The factual and personnel effort of the antitrust authority was outstanding. In the course of the investigations, information requests were sent to all companies operating in Germany in the field of cash services, particularly regarding market volume and market shares in the regional markets affected by the merger. In addition, there were extensive investigations with information requests to various customer groups as well as the analysis of an economic expert opinion. The effort was increased by the joiners, the granting of legal hearing, as well as discussions of structural conditions with the merging parties and with market participants and customers of cash services.  </w:t>
        <w:br/>
        <w:t xml:space="preserve">167 Cf. OLG Düsseldorf, decision of April 16, 2008, VI-Kart 2/08 (V) with references.  </w:t>
        <w:br/>
        <w:t>168 Cf. OLG Düsseldorf, decision of February 24, 2010, VI-Kart 11/09 (V) with references.</w:t>
      </w:r>
    </w:p>
    <w:p>
      <w:r>
        <w:t xml:space="preserve">119  </w:t>
        <w:br/>
        <w:t xml:space="preserve">(338) Considering all criteria relevant for the determination of the fee, a fee of a total of € […],- is appropriate for the clearance decision under conditions.  </w:t>
        <w:br/>
        <w:t xml:space="preserve">(339) The separately to be charged fee for the notification of the merger project has been set at € […],- in the exercise of due discretion.  </w:t>
        <w:br/>
        <w:t xml:space="preserve">(340) The debtors of the costs are, according to § 80 Abs. 6 Sentence 1 No. 2 in conjunction with § 80 Abs. 1 No. 2, § 40 GWB, the parties 1 to 3 as joint debtors (§ 80 Abs. 6 Sentence 3 GWB).  </w:t>
        <w:br/>
        <w:t xml:space="preserve">(341) The fee of a total of € […],- is due upon delivery of this decision and is to be transferred within one month after delivery to the account of the Federal Treasury Trier  </w:t>
        <w:br/>
        <w:t xml:space="preserve">IBAN: DE81 5900 0000 0059 0010 20  </w:t>
        <w:br/>
        <w:t xml:space="preserve">Deutsche Bundesbank, Branch Saarbrücken  </w:t>
        <w:br/>
        <w:t xml:space="preserve">BIC: MARKDEF 1590  </w:t>
        <w:br/>
        <w:t xml:space="preserve">Please ensure to indicate the purpose of use as the cash reference number  </w:t>
        <w:br/>
        <w:t xml:space="preserve">810600277265  </w:t>
        <w:br/>
        <w:t xml:space="preserve">and the date of the decision; otherwise, the payment cannot be processed.  </w:t>
        <w:br/>
        <w:t>(342) If no or no complete payment is made by the end of one month after the date of delivery, late fees of one percent of the outstanding amount may be charged for each commenced month of delay (§ 80 Abs. 8 GWB, § 1 Abs. 2 KartKostVO in conjunction with § 18 Abs. 1 VwKostG). In general, bank fees apply for transfers from abroad. In these cases, it must be ensured that the full fee is credited to the account of the Federal Cartel Office.</w:t>
      </w:r>
    </w:p>
    <w:p>
      <w:r>
        <w:t xml:space="preserve">120  </w:t>
        <w:br/>
        <w:t xml:space="preserve">(343) The costs to be set as expenses in addition to the fees in accordance with § 80 Abs. 1 Sentence 3 GWB will be charged separately.  </w:t>
        <w:br/>
        <w:t xml:space="preserve">IX. Notification of Implementation  </w:t>
        <w:br/>
        <w:t>(344) It is hereby noted that the notification of the merger project does not affect the obligation under § 39 Abs. 6 GWB to promptly notify the implementation of the merger.</w:t>
      </w:r>
    </w:p>
    <w:p>
      <w:r>
        <w:rPr>
          <w:b/>
        </w:rPr>
        <w:t>[Pages 121–123]</w:t>
      </w:r>
    </w:p>
    <w:p>
      <w:r>
        <w:t xml:space="preserve">121  </w:t>
        <w:br/>
        <w:t xml:space="preserve">X. Instructions on Legal Remedies  </w:t>
        <w:br/>
        <w:t xml:space="preserve">An appeal against this decision is permitted.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w:t>
        <w:br/>
        <w:t xml:space="preserve">The appeal must be substantiated by a written submission filed with the Bundeskartellamt or the appellate court. The deadline for the appeal justification is two months. It begins with the delivery of the decision and can be extended upon request by the presiding judge of the appellate court. The appeal justification must contain a statement indicating the extent to which the decision is being contested and the modification or annulment being requested, as well as the facts and evidence, including any new ones, on which the appeal is based.  </w:t>
        <w:br/>
        <w:t xml:space="preserve">The appeal and the appeal justification must be signed by a lawyer.  </w:t>
        <w:br/>
        <w:t>Schulze Dr. Mehler Jakobi</w:t>
      </w:r>
    </w:p>
    <w:p>
      <w:r>
        <w:t xml:space="preserve">122  </w:t>
        <w:br/>
        <w:t>You are hereby informed that the decision will be published – in its operative part – in the Federal Gazette (§ 43 Abs. 2 Nr. 1 GWB) and – in full text – on the internet. You are therefore requested to inform the decision-making department in writing within 7 days after the delivery of this decision whether the decision contains trade secrets that need to be redacted before publication. Please justify why the requested redactions constitute trade secrets. If the responsible decision-making department does not receive any notification from you within 7 days, the Bundeskartellamt will assume that this decision does not contain trade secrets and will publish it.</w:t>
      </w:r>
    </w:p>
    <w:p>
      <w:r>
        <w:t xml:space="preserve">123  </w:t>
        <w:br/>
        <w:t xml:space="preserve">Table of Contents  </w:t>
        <w:br/>
        <w:t xml:space="preserve">I. The Project .................................................................................................. 13  </w:t>
        <w:br/>
        <w:t xml:space="preserve">II. The Involved Companies .......................................................................... 13  </w:t>
        <w:br/>
        <w:t xml:space="preserve">A. The Merger Parties ............................................................................................. 13  </w:t>
        <w:br/>
        <w:t xml:space="preserve">1. Prosegur SA .......................................................................................................................... 13  </w:t>
        <w:br/>
        <w:t xml:space="preserve">a. Activity and Structure of the Company ....................................................................... 13  </w:t>
        <w:br/>
        <w:t xml:space="preserve">b. Revenues ............................................................................................................................ 16  </w:t>
        <w:br/>
        <w:t xml:space="preserve">2. Brink’s................................................................................................................................... 16  </w:t>
        <w:br/>
        <w:t xml:space="preserve">a. Activity and Structure of the Company ......................................................................... 16  </w:t>
        <w:br/>
        <w:t xml:space="preserve">b. Revenues ............................................................................................................................ 19  </w:t>
        <w:br/>
        <w:t xml:space="preserve">B. The Joined Parties ...................................................................................................................... 19  </w:t>
        <w:br/>
        <w:t xml:space="preserve">1. Unicorn Geld- und Wertdienstleistungen GmbH ................................................................. 19  </w:t>
        <w:br/>
        <w:t xml:space="preserve">a. Activity and Structure of the Company ....................................................................... 19  </w:t>
        <w:br/>
        <w:t xml:space="preserve">b. Revenues ............................................................................................................................ 21  </w:t>
        <w:br/>
        <w:t xml:space="preserve">2. Ziemann Sicherheit GmbH ................................................................................................... 21  </w:t>
        <w:br/>
        <w:t xml:space="preserve">a. Activity and Structure of the Company ....................................................................... 21  </w:t>
        <w:br/>
        <w:t xml:space="preserve">b. Revenues ............................................................................................................................ 22  </w:t>
        <w:br/>
        <w:t xml:space="preserve">III. Procedural History ............................................................................................... 23  </w:t>
        <w:br/>
        <w:t xml:space="preserve">A. Notification and Deadline ................................................................................................................ 23  </w:t>
        <w:br/>
        <w:t xml:space="preserve">B. Joinders .............................................................................................................................. 23  </w:t>
        <w:br/>
        <w:t xml:space="preserve">C. Investigations ............................................................................................................................. 24  </w:t>
        <w:br/>
        <w:t xml:space="preserve">1. Participants .............................................................................................................................. 24  </w:t>
        <w:br/>
        <w:t xml:space="preserve">2. Competitors and Joined Parties ......................................................................................... 25  </w:t>
        <w:br/>
        <w:t xml:space="preserve">3. Brokers .................................................................................................................................. 26  </w:t>
        <w:br/>
        <w:t xml:space="preserve">4. Demanders ........................................................................................................................... 27  </w:t>
        <w:br/>
        <w:t xml:space="preserve">D. Right to be Heard ..................................................................................................................... 27  </w:t>
        <w:br/>
        <w:t xml:space="preserve">IV. Formal Requirements for Prohibition ............................................................. 30  </w:t>
        <w:br/>
        <w:t xml:space="preserve">A. Scope of Application of the GWB ................................................................................................. 30  </w:t>
        <w:br/>
        <w:t xml:space="preserve">B. Merger Provisions ......................................................................................................................... 31  </w:t>
        <w:br/>
        <w:t xml:space="preserve">V. Substantive Requirements for Prohibition ................................................... 31  </w:t>
        <w:br/>
        <w:t xml:space="preserve">A. Competitive Conditions in the Area of Cash and  </w:t>
        <w:br/>
        <w:t xml:space="preserve">Value Transport Services ........................................................................................................ 31  </w:t>
        <w:br/>
        <w:t xml:space="preserve">1. Cash Services .............................................................................................................................. 31  </w:t>
        <w:br/>
        <w:t xml:space="preserve">2. Providers ....................................................................................................................................... 33  </w:t>
        <w:br/>
        <w:t xml:space="preserve">3. Brokers .......................................................................................................................................... 34  </w:t>
        <w:br/>
        <w:t xml:space="preserve">4. Demanders ................................................................................................................................... 35  </w:t>
        <w:br/>
        <w:t xml:space="preserve">B. Substantive Market Definition ..................................................................................................... 37  </w:t>
        <w:br/>
        <w:t xml:space="preserve">1. Approach to Defining a Distinct Market for Cash Services  </w:t>
        <w:br/>
        <w:t xml:space="preserve">including the Filling and Maintenance of ATMs ................................................................. 37  </w:t>
        <w:br/>
        <w:t xml:space="preserve">2. Previous Decision-Making Practice of the Bundeskartellamt and the European Commission  </w:t>
        <w:br/>
        <w:t xml:space="preserve">..................................................................................................................................................  </w:t>
        <w:br/>
        <w:t xml:space="preserve">.................................................................................................................................................. 37  </w:t>
        <w:br/>
        <w:t xml:space="preserve">a. Decision-Making Practice of the European Commission .................................................. 37  </w:t>
        <w:br/>
        <w:t xml:space="preserve">b. Decision-Making Practice of the Bundeskartellamt .......................................................... 38  </w:t>
        <w:br/>
        <w:t xml:space="preserve">3. Presentation of the Parties on Substantive Market Definition ........................................... 39  </w:t>
        <w:br/>
        <w:t xml:space="preserve">a. Presentation of the Merger Parties .................................................................................. 39  </w:t>
        <w:br/>
        <w:t xml:space="preserve">b. Presentation of the Joined Parties .................................................................................... 40  </w:t>
        <w:br/>
        <w:t xml:space="preserve">4. Results of the Investigations ................................................................................................... 41  </w:t>
        <w:br/>
        <w:t xml:space="preserve">a. Transport and Handling of Cash constitutes the Relevant Market for  </w:t>
        <w:br/>
        <w:t xml:space="preserve">Cash Services ....................................................................................................................... 41  </w:t>
        <w:br/>
        <w:t xml:space="preserve">b. No Distinction Based on the Type of Demanders (Trade/Banks) ................................. 42  </w:t>
        <w:br/>
        <w:t xml:space="preserve">c. Distinct Market for Value Logistics .................................................................................. 42  </w:t>
        <w:br/>
        <w:t>d. Distinct Market for Security Services ............................................................................... 43</w:t>
      </w:r>
    </w:p>
    <w:p>
      <w:r>
        <w:rPr>
          <w:b/>
        </w:rPr>
        <w:t>[Pages 124–126]</w:t>
      </w:r>
    </w:p>
    <w:p>
      <w:r>
        <w:t xml:space="preserve">124  </w:t>
        <w:br/>
        <w:t xml:space="preserve">C. Spatial Market Definition ................................................................................................... 44  </w:t>
        <w:br/>
        <w:t xml:space="preserve">1. The Concept of Spatial Market Definition ........................................................................ 44  </w:t>
        <w:br/>
        <w:t xml:space="preserve">2. Previous Practice of the Federal Cartel Office and the European Commission .............. 46  </w:t>
        <w:br/>
        <w:t xml:space="preserve">a. Decision-Making Practice of the European Commission ................................................ 46  </w:t>
        <w:br/>
        <w:t xml:space="preserve">b. Decision-Making Practice of the Federal Cartel Office .................................................. 47  </w:t>
        <w:br/>
        <w:t xml:space="preserve">3. Presentation of the Parties Regarding Spatial Market Definition ...................................... 47  </w:t>
        <w:br/>
        <w:t xml:space="preserve">a. Presentation of the Merging Parties .............................................................................. 47  </w:t>
        <w:br/>
        <w:t xml:space="preserve">b. Presentation of the Joined Parties .................................................................................. 49  </w:t>
        <w:br/>
        <w:t xml:space="preserve">4. Result of the Market Investigation .................................................................................... 50  </w:t>
        <w:br/>
        <w:t xml:space="preserve">a. The market is by no means larger than the federal territory ............................................ 50  </w:t>
        <w:br/>
        <w:t xml:space="preserve">b. No nationwide market for cash services ......................................................................... 51  </w:t>
        <w:br/>
        <w:t xml:space="preserve">(1) Behavior of the Market Counterpart ........................................................................... 51  </w:t>
        <w:br/>
        <w:t xml:space="preserve">(2) Spatial Reach of Providers of Cash Services .............................................................. 52  </w:t>
        <w:br/>
        <w:t xml:space="preserve">(3) Differentiated Prices .................................................................................................... 56  </w:t>
        <w:br/>
        <w:t xml:space="preserve">(4) Activity of Brokers Does Not Lead to a Nationwide Uniform Price Level ............... 58  </w:t>
        <w:br/>
        <w:t xml:space="preserve">(5) Effects of the Bundesbank Strategy to Reduce the Number of Its Branches ............ 58  </w:t>
        <w:br/>
        <w:t xml:space="preserve">(6) Interim Result ............................................................................................................... 59  </w:t>
        <w:br/>
        <w:t xml:space="preserve">c. Regional Markets for Cash Services ................................................................................ 59  </w:t>
        <w:br/>
        <w:t xml:space="preserve">(1) Consideration of Brink's Business Areas Based on Delivery Ranges for 95% of the  </w:t>
        <w:br/>
        <w:t xml:space="preserve">Nearest Customers ........................................................................................................... 60  </w:t>
        <w:br/>
        <w:t xml:space="preserve">(2) Evaluation of Actual Delivery Relationships (Revenue Consideration) .................... 61  </w:t>
        <w:br/>
        <w:t xml:space="preserve">(3) Sufficiently Homogeneous Competitive Conditions in the Regionally Defined Markets  </w:t>
        <w:br/>
        <w:t xml:space="preserve">of Berlin, Hamburg, and Munich ...................................................................................... 63  </w:t>
        <w:br/>
        <w:t xml:space="preserve">Market Shares of the Merging Parties .............................................................................. 64  </w:t>
        <w:br/>
        <w:t xml:space="preserve">Price Level in the Three Market Areas ............................................................................. 64  </w:t>
        <w:br/>
        <w:t xml:space="preserve">D. Competitive Assessment .................................................................................................... 64  </w:t>
        <w:br/>
        <w:t xml:space="preserve">1. Emergence of a Dominant Market Position of Prosegur in the Berlin Market for  </w:t>
        <w:br/>
        <w:t xml:space="preserve">Providing Cash Services ..................................................................................................... 65  </w:t>
        <w:br/>
        <w:t xml:space="preserve">a. Summary .......................................................................................................................... 65  </w:t>
        <w:br/>
        <w:t xml:space="preserve">b. Market Area ...................................................................................................................... 67  </w:t>
        <w:br/>
        <w:t xml:space="preserve">c. Market Share Consideration for the Berlin Market .......................................................... 67  </w:t>
        <w:br/>
        <w:t xml:space="preserve">(1) Market Volume ............................................................................................................ 68  </w:t>
        <w:br/>
        <w:t xml:space="preserve">(2) Market Shares .............................................................................................................. 70  </w:t>
        <w:br/>
        <w:t xml:space="preserve">(3) Market Share Development ....................................................................................... 72  </w:t>
        <w:br/>
        <w:t xml:space="preserve">(4) Market Share Gaps ...................................................................................................... 73  </w:t>
        <w:br/>
        <w:t xml:space="preserve">d. Market and Competitive Structures ................................................................................ 73  </w:t>
        <w:br/>
        <w:t xml:space="preserve">(1) Customer Structures of the Merging Parties .............................................................. 74  </w:t>
        <w:br/>
        <w:t xml:space="preserve">(2) Network Effects ............................................................................................................ 74  </w:t>
        <w:br/>
        <w:t xml:space="preserve">e. Financial Resources Secure Prosegur's Market Position ................................................ 79  </w:t>
        <w:br/>
        <w:t xml:space="preserve">f. Barriers to Market Entry/Potential Competition .............................................................. 82  </w:t>
        <w:br/>
        <w:t xml:space="preserve">g. Prosegur's Market Position Is Not Challenged by Buyer Power or Strategic Demand ... 85  </w:t>
        <w:br/>
        <w:t xml:space="preserve">(1) Presentation of the Merging Parties .......................................................................... 85  </w:t>
        <w:br/>
        <w:t xml:space="preserve">(2) Result of the Investigations ......................................................................................... 86  </w:t>
        <w:br/>
        <w:t xml:space="preserve">(aa) Previous Demand Behavior ...................................................................................... 86  </w:t>
        <w:br/>
        <w:t xml:space="preserve">(bb) Future Demand Behavior ......................................................................................... 89  </w:t>
        <w:br/>
        <w:t xml:space="preserve">(3) No Limitation of Market Position by Insourcing .......................................................... 90  </w:t>
        <w:br/>
        <w:t xml:space="preserve">h. The Expert Opinion Submitted by the Parties Does Not Call into Question the Result  </w:t>
        <w:br/>
        <w:t xml:space="preserve">of the Competitive Assessment .......................................................................................... 92  </w:t>
        <w:br/>
        <w:t xml:space="preserve">2. Competitive Assessment for the Hamburg Market ............................................................ 94  </w:t>
        <w:br/>
        <w:t xml:space="preserve">a. Market Area ...................................................................................................................... 94  </w:t>
        <w:br/>
        <w:t xml:space="preserve">b. Market Volume, Market Shares, Market Share Gaps ...................................................... 96  </w:t>
        <w:br/>
        <w:t xml:space="preserve">(1) Market Volume ............................................................................................................ 96  </w:t>
        <w:br/>
        <w:t xml:space="preserve">(2) Market Shares .............................................................................................................. 96  </w:t>
        <w:br/>
        <w:t xml:space="preserve">(3) Market Share Gaps and Market Development ............................................................ 97  </w:t>
        <w:br/>
        <w:t xml:space="preserve">c. Market Structures ............................................................................................................. 97  </w:t>
        <w:br/>
        <w:t xml:space="preserve">d. Potential Competition from Companies in Adjacent Markets ......................................... 99  </w:t>
        <w:br/>
        <w:t xml:space="preserve">3. Competitive Assessment for the Munich Market ............................................................... 100  </w:t>
        <w:br/>
        <w:t xml:space="preserve">a. Munich Market ................................................................................................................ 100  </w:t>
        <w:br/>
        <w:t xml:space="preserve">b. Market Volume, Market Shares, Market Share Gaps ...................................................... 101  </w:t>
        <w:br/>
        <w:t xml:space="preserve">(1) Market Volume ............................................................................................................ 102  </w:t>
        <w:br/>
        <w:t xml:space="preserve">(2) Market Shares .............................................................................................................. 102  </w:t>
        <w:br/>
        <w:t xml:space="preserve">(3) Market Share Gaps and Market Developments .......................................................... 103  </w:t>
        <w:br/>
        <w:t xml:space="preserve">a. Market Structures ............................................................................................................. 103  </w:t>
        <w:br/>
        <w:t xml:space="preserve">4. Competitive Assessment of Other Markets ...................................................................... 105  </w:t>
        <w:br/>
        <w:t xml:space="preserve">a. Market Area Leipzig ......................................................................................................... 105  </w:t>
        <w:br/>
        <w:t xml:space="preserve">b. Market Area Kassel .......................................................................................................... 107  </w:t>
        <w:br/>
        <w:t xml:space="preserve">c. Market Area Frankfurt a.M. .............................................................................................. 108  </w:t>
        <w:br/>
        <w:t xml:space="preserve">d. Market Area Nuremberg .................................................................................................. 109  </w:t>
        <w:br/>
        <w:t xml:space="preserve">VI. Summary Overall Assessment .................................................................................. 110  </w:t>
        <w:br/>
        <w:t xml:space="preserve">VII. Conditions .................................................................................................................... 111  </w:t>
        <w:br/>
        <w:t xml:space="preserve">A. Obligation to Divest ........................................................................................................... 112  </w:t>
        <w:br/>
        <w:t xml:space="preserve">1. Subject Matter .................................................................................................................. 112  </w:t>
        <w:br/>
        <w:t xml:space="preserve">a. Customer Contracts in the Berlin Market for Cash Services ......................................... 112  </w:t>
        <w:br/>
        <w:t xml:space="preserve">b. Infrastructure .................................................................................................................... 113  </w:t>
        <w:br/>
        <w:t xml:space="preserve">2. Design as a Suspensive Condition ................................................................................... 114  </w:t>
        <w:br/>
        <w:t xml:space="preserve">B. Non-Compete Clause .......................................................................................................... 114  </w:t>
        <w:br/>
        <w:t xml:space="preserve">C. Divestiture Deadlines .......................................................................................................... 116  </w:t>
        <w:br/>
        <w:t xml:space="preserve">D. Requirements for the Purchaser ......................................................................................... 116  </w:t>
        <w:br/>
        <w:t xml:space="preserve">E. Appointment of a Trustee ................................................................................................... 117  </w:t>
        <w:br/>
        <w:t xml:space="preserve">VIII. Fees .............................................................................................................................. 117  </w:t>
        <w:br/>
        <w:t xml:space="preserve">IX. Notification of Implementation ...................................................................................... 120  </w:t>
        <w:br/>
        <w:t>X. Legal Remedies Information .......................................................................................... 121</w:t>
      </w:r>
    </w:p>
    <w:p>
      <w:r>
        <w:t xml:space="preserve">126  </w:t>
        <w:br/>
        <w:t xml:space="preserve">List of Figures  </w:t>
        <w:br/>
        <w:t xml:space="preserve">Figure 1 - Overview of the Federal States Where Brink's Provides Cash Services ................. 18  </w:t>
        <w:br/>
        <w:t xml:space="preserve">Figure 2 - Cash Cycle .................................................................................................................. 32  </w:t>
        <w:br/>
        <w:t xml:space="preserve">Figure 3 - Areas of Activity of the Branches Operated by Brink's ........................................... 53  </w:t>
        <w:br/>
        <w:t xml:space="preserve">Figure 4 - Areas of Activity of the Branches Operated by Prosegur ......................................... 54  </w:t>
        <w:br/>
        <w:t xml:space="preserve">Figure 5 - Areas of Activity of the Branches Operated by Ziemann ......................................... 54  </w:t>
        <w:br/>
        <w:t xml:space="preserve">Figure 6 - Areas of Activity of the Branches Operated by Unicorn .......................................... 54  </w:t>
        <w:br/>
        <w:t xml:space="preserve">Figure 7 - Areas of Activity of the Branches Operated by Kötter .............................................. 54  </w:t>
        <w:br/>
        <w:t xml:space="preserve">Figure 8 - Areas of Activity of the Branches Operated by Götz ................................................. 56  </w:t>
        <w:br/>
        <w:t xml:space="preserve">Figure 9 - Areas of Activity of the Branches Operated by ITT .................................................. 56  </w:t>
        <w:br/>
        <w:t xml:space="preserve">Figure 10 - Areas of Activity of the Branches Operated by WSN ............................................. 56  </w:t>
        <w:br/>
        <w:t xml:space="preserve">Figure 11 - Areas of Activity of the Branches Operated by WSD Gailing .................................. 56  </w:t>
        <w:br/>
        <w:t xml:space="preserve">Figure 12 - Areas of Activity of the Branches Operated by SVG AG (MST and TranSecurity) ... 56  </w:t>
        <w:br/>
        <w:t xml:space="preserve">Figure 13 - Areas of Activity of the Branches Operated by GSB ............................................... 56  </w:t>
        <w:br/>
        <w:t xml:space="preserve">Figure 14 - Areas of Activity of the Branch of GWS Magdeburg .............................................. 56  </w:t>
        <w:br/>
        <w:t xml:space="preserve">Figure 15 - Representation of the Business Areas of the Brink's Branches Based on Delivery  </w:t>
        <w:br/>
        <w:t xml:space="preserve">Ranges for 95% of the Nearest Customer Locations ............................................................ 61  </w:t>
        <w:br/>
        <w:t xml:space="preserve">Figure 16 - Customer Relationships Brink's Branch Hamburg .................................................. 62  </w:t>
        <w:br/>
        <w:t xml:space="preserve">Figure 17 - Delivery Relationships Brink's Berlin ...................................................................... 67  </w:t>
        <w:br/>
        <w:t xml:space="preserve">Figure 18 - Market Berlin (Postal Code Areas) ......................................................................... 67  </w:t>
        <w:br/>
        <w:t xml:space="preserve">Figure 19 - Representation of the Area Division Cash Logistik .................................................. 77  </w:t>
        <w:br/>
        <w:t xml:space="preserve">Figure 20 - Delivery Relationships Brink's Hamburg ................................................................. 94  </w:t>
        <w:br/>
        <w:t xml:space="preserve">Figure 21 - Market Area Hamburg (Postal Code Areas) ............................................................ 94  </w:t>
        <w:br/>
        <w:t xml:space="preserve">Figure 22 - Delivery Relationships Brink's Munich .................................................................. 100  </w:t>
        <w:br/>
        <w:t xml:space="preserve">Figure 23 - Market Munich (Postal Code Areas) ...................................................................... 100  </w:t>
        <w:br/>
        <w:t xml:space="preserve">Figure 24 - Market Area Leipzig ................................................................................................ 105  </w:t>
        <w:br/>
        <w:t xml:space="preserve">Figure 25 - Delivery Relationships Brink's Leipzig ................................................................... 105  </w:t>
        <w:br/>
        <w:t xml:space="preserve">Figure 26 - Delivery Relationships Brink's Erfurt ...................................................................... 105  </w:t>
        <w:br/>
        <w:t xml:space="preserve">Figure 27 - Delivery Relationships Brink's Chemnitz ................................................................. 105  </w:t>
        <w:br/>
        <w:t xml:space="preserve">Figure 28 - Radius Around the Brink's Branch in Frankfurt a.M., in Which 95% of Customers  </w:t>
        <w:br/>
        <w:t xml:space="preserve">Are Served ............................................................................................................................ 108  </w:t>
        <w:br/>
        <w:t xml:space="preserve">List of Tables  </w:t>
        <w:br/>
        <w:t xml:space="preserve">Table 1 - Competitive Situation in the Berlin Market ................................................................. 71  </w:t>
        <w:br/>
        <w:t xml:space="preserve">Table 2 - Revenue Development Prosegur 2010-2012 ............................................................... 72  </w:t>
        <w:br/>
        <w:t xml:space="preserve">Table 3 - Competitive Situation in the Hamburg Market ........................................................... 96  </w:t>
        <w:br/>
        <w:t xml:space="preserve">Table 4 - Competitive Situation in the Munich Market ............................................................. 102  </w:t>
        <w:br/>
        <w:t xml:space="preserve">Table 5 - Competitive Situation in the Leipzig Market (Leipzig, Erfurt, Chemnitz) ............... 106  </w:t>
        <w:br/>
        <w:t>Table 6 - Competitive Situation in the Frankfurt a.M. Market .................................................. 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